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83" w:rsidRPr="00B22E59" w:rsidRDefault="00CC10EC" w:rsidP="00663D83">
      <w:pPr>
        <w:keepNext/>
        <w:outlineLvl w:val="1"/>
        <w:rPr>
          <w:rFonts w:ascii="Arial" w:hAnsi="Arial" w:cs="Arial"/>
          <w:color w:val="808080"/>
          <w:sz w:val="48"/>
          <w:szCs w:val="48"/>
          <w:lang w:val="en-US"/>
        </w:rPr>
      </w:pPr>
      <w:proofErr w:type="spellStart"/>
      <w:r>
        <w:rPr>
          <w:rFonts w:ascii="Arial" w:hAnsi="Arial" w:cs="Arial"/>
          <w:color w:val="808080"/>
          <w:sz w:val="48"/>
          <w:szCs w:val="48"/>
          <w:lang w:val="en-US"/>
        </w:rPr>
        <w:t>Comunicado</w:t>
      </w:r>
      <w:proofErr w:type="spellEnd"/>
      <w:r>
        <w:rPr>
          <w:rFonts w:ascii="Arial" w:hAnsi="Arial" w:cs="Arial"/>
          <w:color w:val="808080"/>
          <w:sz w:val="48"/>
          <w:szCs w:val="48"/>
          <w:lang w:val="en-US"/>
        </w:rPr>
        <w:t xml:space="preserve"> de </w:t>
      </w:r>
      <w:proofErr w:type="spellStart"/>
      <w:r>
        <w:rPr>
          <w:rFonts w:ascii="Arial" w:hAnsi="Arial" w:cs="Arial"/>
          <w:color w:val="808080"/>
          <w:sz w:val="48"/>
          <w:szCs w:val="48"/>
          <w:lang w:val="en-US"/>
        </w:rPr>
        <w:t>Imprensa</w:t>
      </w:r>
      <w:proofErr w:type="spellEnd"/>
      <w:r w:rsidR="00663D83" w:rsidRPr="00B22E59">
        <w:rPr>
          <w:rFonts w:ascii="Arial" w:hAnsi="Arial" w:cs="Arial"/>
          <w:color w:val="808080"/>
          <w:sz w:val="48"/>
          <w:szCs w:val="48"/>
          <w:lang w:val="en-US"/>
        </w:rPr>
        <w:t xml:space="preserve"> </w:t>
      </w:r>
    </w:p>
    <w:p w:rsidR="00663D83" w:rsidRPr="00B22E59" w:rsidRDefault="00663D83" w:rsidP="00663D83">
      <w:pPr>
        <w:keepNext/>
        <w:spacing w:before="240"/>
        <w:contextualSpacing/>
        <w:jc w:val="right"/>
        <w:outlineLvl w:val="1"/>
        <w:rPr>
          <w:rFonts w:ascii="Arial" w:hAnsi="Arial" w:cs="Arial"/>
          <w:b/>
          <w:iCs/>
          <w:color w:val="808080"/>
          <w:sz w:val="32"/>
          <w:szCs w:val="32"/>
          <w:lang w:val="en-US"/>
        </w:rPr>
      </w:pPr>
    </w:p>
    <w:p w:rsidR="00663D83" w:rsidRPr="00B22E59" w:rsidRDefault="00663D83" w:rsidP="00663D83">
      <w:pPr>
        <w:keepNext/>
        <w:spacing w:before="240"/>
        <w:contextualSpacing/>
        <w:jc w:val="right"/>
        <w:outlineLvl w:val="1"/>
        <w:rPr>
          <w:rFonts w:ascii="Arial" w:hAnsi="Arial" w:cs="Arial"/>
          <w:b/>
          <w:iCs/>
          <w:color w:val="808080"/>
          <w:sz w:val="32"/>
          <w:szCs w:val="32"/>
          <w:lang w:val="en-US"/>
        </w:rPr>
      </w:pPr>
      <w:r w:rsidRPr="00B22E59">
        <w:rPr>
          <w:rFonts w:ascii="Arial" w:hAnsi="Arial" w:cs="Arial"/>
          <w:b/>
          <w:iCs/>
          <w:color w:val="808080"/>
          <w:sz w:val="32"/>
          <w:szCs w:val="32"/>
          <w:lang w:val="en-US"/>
        </w:rPr>
        <w:t xml:space="preserve"> </w:t>
      </w:r>
      <w:r w:rsidRPr="00B22E59">
        <w:rPr>
          <w:rFonts w:ascii="Arial" w:hAnsi="Arial" w:cs="Cordia New"/>
          <w:noProof/>
          <w:sz w:val="24"/>
          <w:lang w:eastAsia="pt-BR"/>
        </w:rPr>
        <w:drawing>
          <wp:inline distT="0" distB="0" distL="0" distR="0" wp14:anchorId="094547F2" wp14:editId="41E5C922">
            <wp:extent cx="2508250" cy="323850"/>
            <wp:effectExtent l="0" t="0" r="6350" b="0"/>
            <wp:docPr id="2" name="Picture 1" descr="BorgWarner_Logo_Final_0_35_105_RGB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rgWarner_Logo_Final_0_35_105_RGB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8250" cy="323850"/>
                    </a:xfrm>
                    <a:prstGeom prst="rect">
                      <a:avLst/>
                    </a:prstGeom>
                    <a:noFill/>
                    <a:ln>
                      <a:noFill/>
                    </a:ln>
                  </pic:spPr>
                </pic:pic>
              </a:graphicData>
            </a:graphic>
          </wp:inline>
        </w:drawing>
      </w:r>
    </w:p>
    <w:p w:rsidR="00663D83" w:rsidRPr="00B22E59" w:rsidRDefault="00663D83" w:rsidP="00663D83">
      <w:pPr>
        <w:spacing w:line="360" w:lineRule="auto"/>
        <w:rPr>
          <w:rFonts w:ascii="Arial" w:hAnsi="Arial" w:cs="Arial"/>
          <w:b/>
          <w:bCs/>
          <w:sz w:val="32"/>
          <w:szCs w:val="32"/>
          <w:lang w:val="en-US"/>
        </w:rPr>
      </w:pPr>
    </w:p>
    <w:p w:rsidR="00663D83" w:rsidRPr="00B22E59" w:rsidRDefault="00663D83" w:rsidP="00663D83">
      <w:pPr>
        <w:spacing w:line="360" w:lineRule="auto"/>
        <w:rPr>
          <w:rFonts w:ascii="Arial" w:hAnsi="Arial" w:cs="Arial"/>
          <w:b/>
          <w:bCs/>
          <w:sz w:val="32"/>
          <w:szCs w:val="32"/>
          <w:lang w:val="en-US"/>
        </w:rPr>
      </w:pPr>
    </w:p>
    <w:p w:rsidR="00663D83" w:rsidRPr="00B22E59" w:rsidRDefault="00CC10EC" w:rsidP="00663D83">
      <w:pPr>
        <w:autoSpaceDE w:val="0"/>
        <w:autoSpaceDN w:val="0"/>
        <w:adjustRightInd w:val="0"/>
        <w:spacing w:after="320" w:line="360" w:lineRule="auto"/>
        <w:jc w:val="center"/>
        <w:rPr>
          <w:rFonts w:ascii="Arial" w:eastAsia="Times New Roman" w:hAnsi="Arial" w:cs="Arial"/>
          <w:b/>
          <w:bCs/>
          <w:sz w:val="32"/>
          <w:szCs w:val="32"/>
          <w:lang w:val="en-US"/>
        </w:rPr>
      </w:pPr>
      <w:r w:rsidRPr="00CC10EC">
        <w:rPr>
          <w:rFonts w:ascii="Arial" w:eastAsia="Times New Roman" w:hAnsi="Arial" w:cs="Arial"/>
          <w:b/>
          <w:bCs/>
          <w:sz w:val="32"/>
          <w:szCs w:val="32"/>
          <w:lang w:val="en-US"/>
        </w:rPr>
        <w:t>BorgWarner n</w:t>
      </w:r>
      <w:r w:rsidR="000F523B">
        <w:rPr>
          <w:rFonts w:ascii="Arial" w:eastAsia="Times New Roman" w:hAnsi="Arial" w:cs="Arial"/>
          <w:b/>
          <w:bCs/>
          <w:sz w:val="32"/>
          <w:szCs w:val="32"/>
          <w:lang w:val="en-US"/>
        </w:rPr>
        <w:t>o</w:t>
      </w:r>
      <w:r w:rsidRPr="00CC10EC">
        <w:rPr>
          <w:rFonts w:ascii="Arial" w:eastAsia="Times New Roman" w:hAnsi="Arial" w:cs="Arial"/>
          <w:b/>
          <w:bCs/>
          <w:sz w:val="32"/>
          <w:szCs w:val="32"/>
          <w:lang w:val="en-US"/>
        </w:rPr>
        <w:t xml:space="preserve"> IAA 2019: </w:t>
      </w:r>
      <w:r>
        <w:rPr>
          <w:rFonts w:ascii="Arial" w:eastAsia="Times New Roman" w:hAnsi="Arial" w:cs="Arial"/>
          <w:b/>
          <w:bCs/>
          <w:sz w:val="32"/>
          <w:szCs w:val="32"/>
          <w:lang w:val="en-US"/>
        </w:rPr>
        <w:t>M</w:t>
      </w:r>
      <w:r w:rsidRPr="00CC10EC">
        <w:rPr>
          <w:rFonts w:ascii="Arial" w:eastAsia="Times New Roman" w:hAnsi="Arial" w:cs="Arial"/>
          <w:b/>
          <w:bCs/>
          <w:sz w:val="32"/>
          <w:szCs w:val="32"/>
          <w:lang w:val="en-US"/>
        </w:rPr>
        <w:t xml:space="preserve">udar </w:t>
      </w:r>
      <w:r>
        <w:rPr>
          <w:rFonts w:ascii="Arial" w:eastAsia="Times New Roman" w:hAnsi="Arial" w:cs="Arial"/>
          <w:b/>
          <w:bCs/>
          <w:sz w:val="32"/>
          <w:szCs w:val="32"/>
          <w:lang w:val="en-US"/>
        </w:rPr>
        <w:t>A</w:t>
      </w:r>
      <w:r w:rsidRPr="00CC10EC">
        <w:rPr>
          <w:rFonts w:ascii="Arial" w:eastAsia="Times New Roman" w:hAnsi="Arial" w:cs="Arial"/>
          <w:b/>
          <w:bCs/>
          <w:sz w:val="32"/>
          <w:szCs w:val="32"/>
          <w:lang w:val="en-US"/>
        </w:rPr>
        <w:t>gora</w:t>
      </w:r>
    </w:p>
    <w:p w:rsidR="00663D83" w:rsidRPr="00EB58B0" w:rsidRDefault="00CC10EC" w:rsidP="00663D83">
      <w:pPr>
        <w:numPr>
          <w:ilvl w:val="0"/>
          <w:numId w:val="1"/>
        </w:numPr>
        <w:autoSpaceDE w:val="0"/>
        <w:autoSpaceDN w:val="0"/>
        <w:adjustRightInd w:val="0"/>
        <w:spacing w:after="0" w:line="360" w:lineRule="auto"/>
        <w:ind w:left="1134" w:hanging="425"/>
        <w:contextualSpacing/>
        <w:rPr>
          <w:rFonts w:ascii="Arial" w:hAnsi="Arial" w:cs="Arial"/>
          <w:bCs/>
          <w:i/>
          <w:lang w:eastAsia="ko-KR"/>
        </w:rPr>
      </w:pPr>
      <w:r w:rsidRPr="00EB58B0">
        <w:rPr>
          <w:rFonts w:ascii="Arial" w:hAnsi="Arial" w:cs="Arial"/>
          <w:bCs/>
          <w:i/>
          <w:lang w:eastAsia="ko-KR"/>
        </w:rPr>
        <w:t xml:space="preserve">Soluções avançadas para eletrificação apresentadas no Hall 9.0, Estande </w:t>
      </w:r>
      <w:proofErr w:type="gramStart"/>
      <w:r w:rsidRPr="00EB58B0">
        <w:rPr>
          <w:rFonts w:ascii="Arial" w:hAnsi="Arial" w:cs="Arial"/>
          <w:bCs/>
          <w:i/>
          <w:lang w:eastAsia="ko-KR"/>
        </w:rPr>
        <w:t>B08</w:t>
      </w:r>
      <w:proofErr w:type="gramEnd"/>
    </w:p>
    <w:p w:rsidR="00CC10EC" w:rsidRPr="00EB58B0" w:rsidRDefault="00CC10EC" w:rsidP="00663D83">
      <w:pPr>
        <w:numPr>
          <w:ilvl w:val="0"/>
          <w:numId w:val="1"/>
        </w:numPr>
        <w:autoSpaceDE w:val="0"/>
        <w:autoSpaceDN w:val="0"/>
        <w:adjustRightInd w:val="0"/>
        <w:spacing w:after="240" w:line="360" w:lineRule="auto"/>
        <w:ind w:left="1134" w:hanging="425"/>
        <w:contextualSpacing/>
        <w:rPr>
          <w:rFonts w:ascii="Arial" w:eastAsia="SimSun" w:hAnsi="Arial" w:cs="Arial"/>
          <w:i/>
        </w:rPr>
      </w:pPr>
      <w:r w:rsidRPr="00EB58B0">
        <w:rPr>
          <w:rFonts w:ascii="Arial" w:hAnsi="Arial" w:cs="Arial"/>
          <w:bCs/>
          <w:i/>
          <w:lang w:eastAsia="ko-KR"/>
        </w:rPr>
        <w:t>Da carga d</w:t>
      </w:r>
      <w:r w:rsidR="000F523B" w:rsidRPr="00EB58B0">
        <w:rPr>
          <w:rFonts w:ascii="Arial" w:hAnsi="Arial" w:cs="Arial"/>
          <w:bCs/>
          <w:i/>
          <w:lang w:eastAsia="ko-KR"/>
        </w:rPr>
        <w:t>e</w:t>
      </w:r>
      <w:r w:rsidRPr="00EB58B0">
        <w:rPr>
          <w:rFonts w:ascii="Arial" w:hAnsi="Arial" w:cs="Arial"/>
          <w:bCs/>
          <w:i/>
          <w:lang w:eastAsia="ko-KR"/>
        </w:rPr>
        <w:t xml:space="preserve"> bateria à propulsão, a empresa abrange todos os níveis da e-</w:t>
      </w:r>
      <w:proofErr w:type="spellStart"/>
      <w:proofErr w:type="gramStart"/>
      <w:r w:rsidRPr="00EB58B0">
        <w:rPr>
          <w:rFonts w:ascii="Arial" w:hAnsi="Arial" w:cs="Arial"/>
          <w:bCs/>
          <w:i/>
          <w:lang w:eastAsia="ko-KR"/>
        </w:rPr>
        <w:t>mobility</w:t>
      </w:r>
      <w:proofErr w:type="spellEnd"/>
      <w:proofErr w:type="gramEnd"/>
      <w:r w:rsidRPr="00EB58B0">
        <w:rPr>
          <w:rFonts w:ascii="Arial" w:hAnsi="Arial" w:cs="Arial"/>
          <w:bCs/>
          <w:i/>
          <w:lang w:eastAsia="ko-KR"/>
        </w:rPr>
        <w:t xml:space="preserve"> </w:t>
      </w:r>
    </w:p>
    <w:p w:rsidR="00663D83" w:rsidRPr="00EB58B0" w:rsidRDefault="00CC10EC" w:rsidP="00663D83">
      <w:pPr>
        <w:numPr>
          <w:ilvl w:val="0"/>
          <w:numId w:val="1"/>
        </w:numPr>
        <w:autoSpaceDE w:val="0"/>
        <w:autoSpaceDN w:val="0"/>
        <w:adjustRightInd w:val="0"/>
        <w:spacing w:after="240" w:line="360" w:lineRule="auto"/>
        <w:ind w:left="1134" w:hanging="425"/>
        <w:contextualSpacing/>
        <w:rPr>
          <w:rFonts w:ascii="Arial" w:eastAsia="SimSun" w:hAnsi="Arial" w:cs="Arial"/>
          <w:i/>
        </w:rPr>
      </w:pPr>
      <w:proofErr w:type="spellStart"/>
      <w:proofErr w:type="gramStart"/>
      <w:r w:rsidRPr="00EB58B0">
        <w:rPr>
          <w:rFonts w:ascii="Arial" w:hAnsi="Arial" w:cs="Arial"/>
          <w:bCs/>
          <w:i/>
          <w:szCs w:val="24"/>
          <w:lang w:eastAsia="ko-KR"/>
        </w:rPr>
        <w:t>BorgWarner</w:t>
      </w:r>
      <w:proofErr w:type="spellEnd"/>
      <w:proofErr w:type="gramEnd"/>
      <w:r w:rsidRPr="00EB58B0">
        <w:rPr>
          <w:rFonts w:ascii="Arial" w:hAnsi="Arial" w:cs="Arial"/>
          <w:bCs/>
          <w:i/>
          <w:szCs w:val="24"/>
          <w:lang w:eastAsia="ko-KR"/>
        </w:rPr>
        <w:t xml:space="preserve"> demonstrar</w:t>
      </w:r>
      <w:r w:rsidR="00503D5A" w:rsidRPr="00EB58B0">
        <w:rPr>
          <w:rFonts w:ascii="Arial" w:hAnsi="Arial" w:cs="Arial"/>
          <w:bCs/>
          <w:i/>
          <w:szCs w:val="24"/>
          <w:lang w:eastAsia="ko-KR"/>
        </w:rPr>
        <w:t>á</w:t>
      </w:r>
      <w:r w:rsidRPr="00EB58B0">
        <w:rPr>
          <w:rFonts w:ascii="Arial" w:hAnsi="Arial" w:cs="Arial"/>
          <w:bCs/>
          <w:i/>
          <w:szCs w:val="24"/>
          <w:lang w:eastAsia="ko-KR"/>
        </w:rPr>
        <w:t xml:space="preserve"> sua competência em sistemas com soluções de propulsão otimizadas</w:t>
      </w:r>
    </w:p>
    <w:p w:rsidR="00CC10EC" w:rsidRPr="00EB58B0" w:rsidRDefault="00CC10EC" w:rsidP="00CC10EC">
      <w:pPr>
        <w:autoSpaceDE w:val="0"/>
        <w:autoSpaceDN w:val="0"/>
        <w:adjustRightInd w:val="0"/>
        <w:spacing w:after="240" w:line="360" w:lineRule="auto"/>
        <w:ind w:left="1134"/>
        <w:contextualSpacing/>
        <w:rPr>
          <w:rFonts w:ascii="Arial" w:eastAsia="SimSun" w:hAnsi="Arial" w:cs="Arial"/>
          <w:i/>
        </w:rPr>
      </w:pPr>
    </w:p>
    <w:p w:rsidR="00CC10EC" w:rsidRPr="00EB58B0" w:rsidRDefault="00CC10EC" w:rsidP="009247D7">
      <w:pPr>
        <w:spacing w:line="360" w:lineRule="auto"/>
        <w:jc w:val="both"/>
        <w:rPr>
          <w:rFonts w:ascii="Arial" w:eastAsia="SimSun" w:hAnsi="Arial" w:cs="Arial"/>
        </w:rPr>
      </w:pPr>
      <w:proofErr w:type="spellStart"/>
      <w:r w:rsidRPr="00EB58B0">
        <w:rPr>
          <w:rFonts w:ascii="Arial" w:eastAsia="SimSun" w:hAnsi="Arial" w:cs="Arial"/>
          <w:i/>
          <w:iCs/>
        </w:rPr>
        <w:t>Auburn</w:t>
      </w:r>
      <w:proofErr w:type="spellEnd"/>
      <w:r w:rsidRPr="00EB58B0">
        <w:rPr>
          <w:rFonts w:ascii="Arial" w:eastAsia="SimSun" w:hAnsi="Arial" w:cs="Arial"/>
          <w:i/>
          <w:iCs/>
        </w:rPr>
        <w:t xml:space="preserve"> Hills, Michigan</w:t>
      </w:r>
      <w:r w:rsidR="00EB58B0" w:rsidRPr="00EB58B0">
        <w:rPr>
          <w:rFonts w:ascii="Arial" w:eastAsia="SimSun" w:hAnsi="Arial" w:cs="Arial"/>
          <w:i/>
          <w:iCs/>
        </w:rPr>
        <w:t xml:space="preserve">, </w:t>
      </w:r>
      <w:r w:rsidR="00EB58B0">
        <w:rPr>
          <w:rFonts w:ascii="Arial" w:eastAsia="SimSun" w:hAnsi="Arial" w:cs="Arial"/>
          <w:i/>
          <w:lang w:val="es-ES_tradnl"/>
        </w:rPr>
        <w:t>27 de Agosto de</w:t>
      </w:r>
      <w:r w:rsidRPr="00EB58B0">
        <w:rPr>
          <w:rFonts w:ascii="Arial" w:eastAsia="SimSun" w:hAnsi="Arial" w:cs="Arial"/>
          <w:i/>
          <w:iCs/>
        </w:rPr>
        <w:t xml:space="preserve"> 2019</w:t>
      </w:r>
      <w:r w:rsidRPr="00EB58B0">
        <w:rPr>
          <w:rFonts w:ascii="Arial" w:eastAsia="SimSun" w:hAnsi="Arial" w:cs="Arial"/>
        </w:rPr>
        <w:t xml:space="preserve"> - As soluções da </w:t>
      </w:r>
      <w:proofErr w:type="spellStart"/>
      <w:proofErr w:type="gramStart"/>
      <w:r w:rsidRPr="00EB58B0">
        <w:rPr>
          <w:rFonts w:ascii="Arial" w:eastAsia="SimSun" w:hAnsi="Arial" w:cs="Arial"/>
        </w:rPr>
        <w:t>BorgWarner</w:t>
      </w:r>
      <w:proofErr w:type="spellEnd"/>
      <w:proofErr w:type="gramEnd"/>
      <w:r w:rsidRPr="00EB58B0">
        <w:rPr>
          <w:rFonts w:ascii="Arial" w:eastAsia="SimSun" w:hAnsi="Arial" w:cs="Arial"/>
        </w:rPr>
        <w:t xml:space="preserve"> apresentadas no 68</w:t>
      </w:r>
      <w:r w:rsidR="00503D5A" w:rsidRPr="00EB58B0">
        <w:rPr>
          <w:rFonts w:ascii="Arial" w:eastAsia="SimSun" w:hAnsi="Arial" w:cs="Arial"/>
        </w:rPr>
        <w:t>.</w:t>
      </w:r>
      <w:r w:rsidRPr="00EB58B0">
        <w:rPr>
          <w:rFonts w:ascii="Arial" w:eastAsia="SimSun" w:hAnsi="Arial" w:cs="Arial"/>
        </w:rPr>
        <w:t>º Salão Internacional do Automóvel (IAA) em Frankfurt/</w:t>
      </w:r>
      <w:proofErr w:type="spellStart"/>
      <w:r w:rsidRPr="00EB58B0">
        <w:rPr>
          <w:rFonts w:ascii="Arial" w:eastAsia="SimSun" w:hAnsi="Arial" w:cs="Arial"/>
        </w:rPr>
        <w:t>Main</w:t>
      </w:r>
      <w:proofErr w:type="spellEnd"/>
      <w:r w:rsidRPr="00EB58B0">
        <w:rPr>
          <w:rFonts w:ascii="Arial" w:eastAsia="SimSun" w:hAnsi="Arial" w:cs="Arial"/>
        </w:rPr>
        <w:t xml:space="preserve">, na Alemanha, tornam mais fácil do que nunca a </w:t>
      </w:r>
      <w:r w:rsidR="00503D5A" w:rsidRPr="00EB58B0">
        <w:rPr>
          <w:rFonts w:ascii="Arial" w:eastAsia="SimSun" w:hAnsi="Arial" w:cs="Arial"/>
        </w:rPr>
        <w:t>transição</w:t>
      </w:r>
      <w:r w:rsidRPr="00EB58B0">
        <w:rPr>
          <w:rFonts w:ascii="Arial" w:eastAsia="SimSun" w:hAnsi="Arial" w:cs="Arial"/>
        </w:rPr>
        <w:t xml:space="preserve"> para um mundo limpo e eficiente em energia. Com foco em seu mais recente portfólio de tecnologias para eletrificação, a </w:t>
      </w:r>
      <w:r w:rsidR="000F523B" w:rsidRPr="00EB58B0">
        <w:rPr>
          <w:rFonts w:ascii="Arial" w:eastAsia="SimSun" w:hAnsi="Arial" w:cs="Arial"/>
        </w:rPr>
        <w:t>apresentação</w:t>
      </w:r>
      <w:r w:rsidRPr="00EB58B0">
        <w:rPr>
          <w:rFonts w:ascii="Arial" w:eastAsia="SimSun" w:hAnsi="Arial" w:cs="Arial"/>
        </w:rPr>
        <w:t xml:space="preserve"> da empresa - localizada no Hall 9.0, </w:t>
      </w:r>
      <w:r w:rsidR="00503D5A" w:rsidRPr="00EB58B0">
        <w:rPr>
          <w:rFonts w:ascii="Arial" w:eastAsia="SimSun" w:hAnsi="Arial" w:cs="Arial"/>
        </w:rPr>
        <w:t>Estande</w:t>
      </w:r>
      <w:r w:rsidRPr="00EB58B0">
        <w:rPr>
          <w:rFonts w:ascii="Arial" w:eastAsia="SimSun" w:hAnsi="Arial" w:cs="Arial"/>
        </w:rPr>
        <w:t xml:space="preserve"> B08 - </w:t>
      </w:r>
      <w:r w:rsidR="00503D5A" w:rsidRPr="00EB58B0">
        <w:rPr>
          <w:rFonts w:ascii="Arial" w:eastAsia="SimSun" w:hAnsi="Arial" w:cs="Arial"/>
        </w:rPr>
        <w:t>ressoar</w:t>
      </w:r>
      <w:r w:rsidRPr="00EB58B0">
        <w:rPr>
          <w:rFonts w:ascii="Arial" w:eastAsia="SimSun" w:hAnsi="Arial" w:cs="Arial"/>
        </w:rPr>
        <w:t xml:space="preserve">á o lema </w:t>
      </w:r>
      <w:r w:rsidR="00503D5A" w:rsidRPr="00EB58B0">
        <w:rPr>
          <w:rFonts w:ascii="Arial" w:eastAsia="SimSun" w:hAnsi="Arial" w:cs="Arial"/>
        </w:rPr>
        <w:t>d</w:t>
      </w:r>
      <w:r w:rsidR="000F523B" w:rsidRPr="00EB58B0">
        <w:rPr>
          <w:rFonts w:ascii="Arial" w:eastAsia="SimSun" w:hAnsi="Arial" w:cs="Arial"/>
        </w:rPr>
        <w:t>o</w:t>
      </w:r>
      <w:r w:rsidR="00503D5A" w:rsidRPr="00EB58B0">
        <w:rPr>
          <w:rFonts w:ascii="Arial" w:eastAsia="SimSun" w:hAnsi="Arial" w:cs="Arial"/>
        </w:rPr>
        <w:t xml:space="preserve"> </w:t>
      </w:r>
      <w:r w:rsidRPr="00EB58B0">
        <w:rPr>
          <w:rFonts w:ascii="Arial" w:eastAsia="SimSun" w:hAnsi="Arial" w:cs="Arial"/>
        </w:rPr>
        <w:t>IAA deste ano, “</w:t>
      </w:r>
      <w:proofErr w:type="spellStart"/>
      <w:r w:rsidRPr="00EB58B0">
        <w:rPr>
          <w:rFonts w:ascii="Arial" w:eastAsia="SimSun" w:hAnsi="Arial" w:cs="Arial"/>
        </w:rPr>
        <w:t>Driving</w:t>
      </w:r>
      <w:proofErr w:type="spellEnd"/>
      <w:r w:rsidRPr="00EB58B0">
        <w:rPr>
          <w:rFonts w:ascii="Arial" w:eastAsia="SimSun" w:hAnsi="Arial" w:cs="Arial"/>
        </w:rPr>
        <w:t xml:space="preserve"> </w:t>
      </w:r>
      <w:proofErr w:type="spellStart"/>
      <w:r w:rsidRPr="00EB58B0">
        <w:rPr>
          <w:rFonts w:ascii="Arial" w:eastAsia="SimSun" w:hAnsi="Arial" w:cs="Arial"/>
        </w:rPr>
        <w:t>Tomorrow</w:t>
      </w:r>
      <w:proofErr w:type="spellEnd"/>
      <w:r w:rsidRPr="00EB58B0">
        <w:rPr>
          <w:rFonts w:ascii="Arial" w:eastAsia="SimSun" w:hAnsi="Arial" w:cs="Arial"/>
        </w:rPr>
        <w:t xml:space="preserve">”. A </w:t>
      </w:r>
      <w:proofErr w:type="spellStart"/>
      <w:proofErr w:type="gramStart"/>
      <w:r w:rsidRPr="00EB58B0">
        <w:rPr>
          <w:rFonts w:ascii="Arial" w:eastAsia="SimSun" w:hAnsi="Arial" w:cs="Arial"/>
        </w:rPr>
        <w:t>BorgWarner</w:t>
      </w:r>
      <w:proofErr w:type="spellEnd"/>
      <w:proofErr w:type="gramEnd"/>
      <w:r w:rsidRPr="00EB58B0">
        <w:rPr>
          <w:rFonts w:ascii="Arial" w:eastAsia="SimSun" w:hAnsi="Arial" w:cs="Arial"/>
        </w:rPr>
        <w:t xml:space="preserve"> demonstrará sua competência em componentes e sistemas para veículos híbridos e elétricos, </w:t>
      </w:r>
      <w:r w:rsidR="00503D5A" w:rsidRPr="00EB58B0">
        <w:rPr>
          <w:rFonts w:ascii="Arial" w:eastAsia="SimSun" w:hAnsi="Arial" w:cs="Arial"/>
        </w:rPr>
        <w:t xml:space="preserve">apresentando o seu </w:t>
      </w:r>
      <w:r w:rsidRPr="00EB58B0">
        <w:rPr>
          <w:rFonts w:ascii="Arial" w:eastAsia="SimSun" w:hAnsi="Arial" w:cs="Arial"/>
        </w:rPr>
        <w:t xml:space="preserve">portfólio completo de produtos para </w:t>
      </w:r>
      <w:r w:rsidR="00EB4093" w:rsidRPr="00EB58B0">
        <w:rPr>
          <w:rFonts w:ascii="Arial" w:eastAsia="SimSun" w:hAnsi="Arial" w:cs="Arial"/>
        </w:rPr>
        <w:t>e-</w:t>
      </w:r>
      <w:proofErr w:type="spellStart"/>
      <w:r w:rsidR="00EB4093" w:rsidRPr="00EB58B0">
        <w:rPr>
          <w:rFonts w:ascii="Arial" w:eastAsia="SimSun" w:hAnsi="Arial" w:cs="Arial"/>
        </w:rPr>
        <w:t>mobility</w:t>
      </w:r>
      <w:proofErr w:type="spellEnd"/>
      <w:r w:rsidRPr="00EB58B0">
        <w:rPr>
          <w:rFonts w:ascii="Arial" w:eastAsia="SimSun" w:hAnsi="Arial" w:cs="Arial"/>
        </w:rPr>
        <w:t>: motores elétricos, bateria</w:t>
      </w:r>
      <w:r w:rsidR="00EB4093" w:rsidRPr="00EB58B0">
        <w:rPr>
          <w:rFonts w:ascii="Arial" w:eastAsia="SimSun" w:hAnsi="Arial" w:cs="Arial"/>
        </w:rPr>
        <w:t>s</w:t>
      </w:r>
      <w:r w:rsidRPr="00EB58B0">
        <w:rPr>
          <w:rFonts w:ascii="Arial" w:eastAsia="SimSun" w:hAnsi="Arial" w:cs="Arial"/>
        </w:rPr>
        <w:t xml:space="preserve"> e tecnologia de transmissão, eletrônica de potência e sistemas de gerenciamento térmico. Entre as exibições </w:t>
      </w:r>
      <w:r w:rsidR="00503D5A" w:rsidRPr="00EB58B0">
        <w:rPr>
          <w:rFonts w:ascii="Arial" w:eastAsia="SimSun" w:hAnsi="Arial" w:cs="Arial"/>
        </w:rPr>
        <w:t>no</w:t>
      </w:r>
      <w:r w:rsidRPr="00EB58B0">
        <w:rPr>
          <w:rFonts w:ascii="Arial" w:eastAsia="SimSun" w:hAnsi="Arial" w:cs="Arial"/>
        </w:rPr>
        <w:t xml:space="preserve"> IAA estarão </w:t>
      </w:r>
      <w:r w:rsidR="00503D5A" w:rsidRPr="00EB58B0">
        <w:rPr>
          <w:rFonts w:ascii="Arial" w:eastAsia="SimSun" w:hAnsi="Arial" w:cs="Arial"/>
        </w:rPr>
        <w:t>os</w:t>
      </w:r>
      <w:r w:rsidRPr="00EB58B0">
        <w:rPr>
          <w:rFonts w:ascii="Arial" w:eastAsia="SimSun" w:hAnsi="Arial" w:cs="Arial"/>
        </w:rPr>
        <w:t xml:space="preserve"> mais recentes </w:t>
      </w:r>
      <w:r w:rsidR="00503D5A" w:rsidRPr="00EB58B0">
        <w:rPr>
          <w:rFonts w:ascii="Arial" w:eastAsia="SimSun" w:hAnsi="Arial" w:cs="Arial"/>
        </w:rPr>
        <w:t xml:space="preserve">packs de </w:t>
      </w:r>
      <w:r w:rsidRPr="00EB58B0">
        <w:rPr>
          <w:rFonts w:ascii="Arial" w:eastAsia="SimSun" w:hAnsi="Arial" w:cs="Arial"/>
        </w:rPr>
        <w:t xml:space="preserve">bateria da empresa, os módulos híbridos P2 e o </w:t>
      </w:r>
      <w:proofErr w:type="spellStart"/>
      <w:proofErr w:type="gramStart"/>
      <w:r w:rsidRPr="00EB58B0">
        <w:rPr>
          <w:rFonts w:ascii="Arial" w:eastAsia="SimSun" w:hAnsi="Arial" w:cs="Arial"/>
        </w:rPr>
        <w:t>eAxle</w:t>
      </w:r>
      <w:proofErr w:type="spellEnd"/>
      <w:proofErr w:type="gramEnd"/>
      <w:r w:rsidRPr="00EB58B0">
        <w:rPr>
          <w:rFonts w:ascii="Arial" w:eastAsia="SimSun" w:hAnsi="Arial" w:cs="Arial"/>
        </w:rPr>
        <w:t xml:space="preserve"> </w:t>
      </w:r>
      <w:proofErr w:type="spellStart"/>
      <w:r w:rsidRPr="00EB58B0">
        <w:rPr>
          <w:rFonts w:ascii="Arial" w:eastAsia="SimSun" w:hAnsi="Arial" w:cs="Arial"/>
        </w:rPr>
        <w:t>iDM</w:t>
      </w:r>
      <w:proofErr w:type="spellEnd"/>
      <w:r w:rsidRPr="00EB58B0">
        <w:rPr>
          <w:rFonts w:ascii="Arial" w:eastAsia="SimSun" w:hAnsi="Arial" w:cs="Arial"/>
        </w:rPr>
        <w:t xml:space="preserve">, juntamente com a </w:t>
      </w:r>
      <w:proofErr w:type="gramStart"/>
      <w:r w:rsidRPr="00EB58B0">
        <w:rPr>
          <w:rFonts w:ascii="Arial" w:eastAsia="SimSun" w:hAnsi="Arial" w:cs="Arial"/>
        </w:rPr>
        <w:t>inovadora</w:t>
      </w:r>
      <w:proofErr w:type="gramEnd"/>
      <w:r w:rsidRPr="00EB58B0">
        <w:rPr>
          <w:rFonts w:ascii="Arial" w:eastAsia="SimSun" w:hAnsi="Arial" w:cs="Arial"/>
        </w:rPr>
        <w:t xml:space="preserve"> tecnologia </w:t>
      </w:r>
      <w:proofErr w:type="spellStart"/>
      <w:r w:rsidRPr="00EB58B0">
        <w:rPr>
          <w:rFonts w:ascii="Arial" w:eastAsia="SimSun" w:hAnsi="Arial" w:cs="Arial"/>
        </w:rPr>
        <w:t>eTurbo</w:t>
      </w:r>
      <w:proofErr w:type="spellEnd"/>
      <w:r w:rsidRPr="00EB58B0">
        <w:rPr>
          <w:rFonts w:ascii="Arial" w:eastAsia="SimSun" w:hAnsi="Arial" w:cs="Arial"/>
        </w:rPr>
        <w:t>.</w:t>
      </w:r>
    </w:p>
    <w:p w:rsidR="00CC10EC" w:rsidRPr="00EB58B0" w:rsidRDefault="00CC10EC" w:rsidP="009247D7">
      <w:pPr>
        <w:spacing w:line="360" w:lineRule="auto"/>
        <w:ind w:firstLine="709"/>
        <w:jc w:val="both"/>
        <w:rPr>
          <w:rFonts w:ascii="Arial" w:eastAsia="SimSun" w:hAnsi="Arial" w:cs="Arial"/>
        </w:rPr>
      </w:pPr>
      <w:r w:rsidRPr="00EB58B0">
        <w:rPr>
          <w:rFonts w:ascii="Arial" w:eastAsia="SimSun" w:hAnsi="Arial" w:cs="Arial"/>
        </w:rPr>
        <w:t xml:space="preserve">“A mobilidade nunca foi tão fascinante e diversificada quanto é hoje. A indústria automotiva está enfrentando muitos desafios para os quais a </w:t>
      </w:r>
      <w:proofErr w:type="spellStart"/>
      <w:proofErr w:type="gramStart"/>
      <w:r w:rsidRPr="00EB58B0">
        <w:rPr>
          <w:rFonts w:ascii="Arial" w:eastAsia="SimSun" w:hAnsi="Arial" w:cs="Arial"/>
        </w:rPr>
        <w:t>BorgWarner</w:t>
      </w:r>
      <w:proofErr w:type="spellEnd"/>
      <w:proofErr w:type="gramEnd"/>
      <w:r w:rsidRPr="00EB58B0">
        <w:rPr>
          <w:rFonts w:ascii="Arial" w:eastAsia="SimSun" w:hAnsi="Arial" w:cs="Arial"/>
        </w:rPr>
        <w:t xml:space="preserve"> oferece uma ampla gama de soluções, incluindo tecnologias para motores </w:t>
      </w:r>
      <w:r w:rsidR="00EB4093" w:rsidRPr="00EB58B0">
        <w:rPr>
          <w:rFonts w:ascii="Arial" w:eastAsia="SimSun" w:hAnsi="Arial" w:cs="Arial"/>
        </w:rPr>
        <w:t>a</w:t>
      </w:r>
      <w:r w:rsidRPr="00EB58B0">
        <w:rPr>
          <w:rFonts w:ascii="Arial" w:eastAsia="SimSun" w:hAnsi="Arial" w:cs="Arial"/>
        </w:rPr>
        <w:t xml:space="preserve"> combustão altamente eficientes, várias arquiteturas híbridas e sistemas puramente elétricos de veículos”, disse Frédéric </w:t>
      </w:r>
      <w:proofErr w:type="spellStart"/>
      <w:r w:rsidRPr="00EB58B0">
        <w:rPr>
          <w:rFonts w:ascii="Arial" w:eastAsia="SimSun" w:hAnsi="Arial" w:cs="Arial"/>
        </w:rPr>
        <w:t>Lissalde</w:t>
      </w:r>
      <w:proofErr w:type="spellEnd"/>
      <w:r w:rsidRPr="00EB58B0">
        <w:rPr>
          <w:rFonts w:ascii="Arial" w:eastAsia="SimSun" w:hAnsi="Arial" w:cs="Arial"/>
        </w:rPr>
        <w:t xml:space="preserve">, presidente e </w:t>
      </w:r>
      <w:r w:rsidR="00503D5A" w:rsidRPr="00EB58B0">
        <w:rPr>
          <w:rFonts w:ascii="Arial" w:eastAsia="SimSun" w:hAnsi="Arial" w:cs="Arial"/>
        </w:rPr>
        <w:t>CEO</w:t>
      </w:r>
      <w:r w:rsidRPr="00EB58B0">
        <w:rPr>
          <w:rFonts w:ascii="Arial" w:eastAsia="SimSun" w:hAnsi="Arial" w:cs="Arial"/>
        </w:rPr>
        <w:t xml:space="preserve"> da </w:t>
      </w:r>
      <w:proofErr w:type="spellStart"/>
      <w:r w:rsidRPr="00EB58B0">
        <w:rPr>
          <w:rFonts w:ascii="Arial" w:eastAsia="SimSun" w:hAnsi="Arial" w:cs="Arial"/>
        </w:rPr>
        <w:t>BorgWarner</w:t>
      </w:r>
      <w:proofErr w:type="spellEnd"/>
      <w:r w:rsidRPr="00EB58B0">
        <w:rPr>
          <w:rFonts w:ascii="Arial" w:eastAsia="SimSun" w:hAnsi="Arial" w:cs="Arial"/>
        </w:rPr>
        <w:t xml:space="preserve">. “Com nosso amplo portfólio de tecnologias líderes, somos capazes de atender às demandas desse mercado diversificado e apoiar </w:t>
      </w:r>
      <w:r w:rsidR="00503D5A" w:rsidRPr="00EB58B0">
        <w:rPr>
          <w:rFonts w:ascii="Arial" w:eastAsia="SimSun" w:hAnsi="Arial" w:cs="Arial"/>
        </w:rPr>
        <w:t>montadoras</w:t>
      </w:r>
      <w:r w:rsidRPr="00EB58B0">
        <w:rPr>
          <w:rFonts w:ascii="Arial" w:eastAsia="SimSun" w:hAnsi="Arial" w:cs="Arial"/>
        </w:rPr>
        <w:t xml:space="preserve"> em todo o mundo”.</w:t>
      </w:r>
    </w:p>
    <w:p w:rsidR="00CC10EC" w:rsidRPr="00EB58B0" w:rsidRDefault="00CC10EC" w:rsidP="009247D7">
      <w:pPr>
        <w:spacing w:line="360" w:lineRule="auto"/>
        <w:jc w:val="both"/>
        <w:rPr>
          <w:rFonts w:ascii="Arial" w:eastAsia="SimSun" w:hAnsi="Arial" w:cs="Arial"/>
          <w:b/>
          <w:bCs/>
        </w:rPr>
      </w:pPr>
      <w:r w:rsidRPr="00EB58B0">
        <w:rPr>
          <w:rFonts w:ascii="Arial" w:eastAsia="SimSun" w:hAnsi="Arial" w:cs="Arial"/>
          <w:b/>
          <w:bCs/>
        </w:rPr>
        <w:t>E</w:t>
      </w:r>
      <w:r w:rsidR="00503D5A" w:rsidRPr="00EB58B0">
        <w:rPr>
          <w:rFonts w:ascii="Arial" w:eastAsia="SimSun" w:hAnsi="Arial" w:cs="Arial"/>
          <w:b/>
          <w:bCs/>
        </w:rPr>
        <w:t>xpertise</w:t>
      </w:r>
      <w:r w:rsidRPr="00EB58B0">
        <w:rPr>
          <w:rFonts w:ascii="Arial" w:eastAsia="SimSun" w:hAnsi="Arial" w:cs="Arial"/>
          <w:b/>
          <w:bCs/>
        </w:rPr>
        <w:t xml:space="preserve"> em </w:t>
      </w:r>
      <w:r w:rsidR="00503D5A" w:rsidRPr="00EB58B0">
        <w:rPr>
          <w:rFonts w:ascii="Arial" w:eastAsia="SimSun" w:hAnsi="Arial" w:cs="Arial"/>
          <w:b/>
          <w:bCs/>
        </w:rPr>
        <w:t>C</w:t>
      </w:r>
      <w:r w:rsidRPr="00EB58B0">
        <w:rPr>
          <w:rFonts w:ascii="Arial" w:eastAsia="SimSun" w:hAnsi="Arial" w:cs="Arial"/>
          <w:b/>
          <w:bCs/>
        </w:rPr>
        <w:t xml:space="preserve">omponentes e </w:t>
      </w:r>
      <w:r w:rsidR="00503D5A" w:rsidRPr="00EB58B0">
        <w:rPr>
          <w:rFonts w:ascii="Arial" w:eastAsia="SimSun" w:hAnsi="Arial" w:cs="Arial"/>
          <w:b/>
          <w:bCs/>
        </w:rPr>
        <w:t>F</w:t>
      </w:r>
      <w:r w:rsidRPr="00EB58B0">
        <w:rPr>
          <w:rFonts w:ascii="Arial" w:eastAsia="SimSun" w:hAnsi="Arial" w:cs="Arial"/>
          <w:b/>
          <w:bCs/>
        </w:rPr>
        <w:t>ornec</w:t>
      </w:r>
      <w:r w:rsidR="00503D5A" w:rsidRPr="00EB58B0">
        <w:rPr>
          <w:rFonts w:ascii="Arial" w:eastAsia="SimSun" w:hAnsi="Arial" w:cs="Arial"/>
          <w:b/>
          <w:bCs/>
        </w:rPr>
        <w:t>imento de</w:t>
      </w:r>
      <w:r w:rsidRPr="00EB58B0">
        <w:rPr>
          <w:rFonts w:ascii="Arial" w:eastAsia="SimSun" w:hAnsi="Arial" w:cs="Arial"/>
          <w:b/>
          <w:bCs/>
        </w:rPr>
        <w:t xml:space="preserve"> </w:t>
      </w:r>
      <w:r w:rsidR="00503D5A" w:rsidRPr="00EB58B0">
        <w:rPr>
          <w:rFonts w:ascii="Arial" w:eastAsia="SimSun" w:hAnsi="Arial" w:cs="Arial"/>
          <w:b/>
          <w:bCs/>
        </w:rPr>
        <w:t>S</w:t>
      </w:r>
      <w:r w:rsidRPr="00EB58B0">
        <w:rPr>
          <w:rFonts w:ascii="Arial" w:eastAsia="SimSun" w:hAnsi="Arial" w:cs="Arial"/>
          <w:b/>
          <w:bCs/>
        </w:rPr>
        <w:t>istemas</w:t>
      </w:r>
    </w:p>
    <w:p w:rsidR="00CC10EC" w:rsidRPr="00EB58B0" w:rsidRDefault="00CC10EC" w:rsidP="009247D7">
      <w:pPr>
        <w:tabs>
          <w:tab w:val="left" w:pos="709"/>
        </w:tabs>
        <w:spacing w:line="360" w:lineRule="auto"/>
        <w:ind w:firstLine="709"/>
        <w:jc w:val="both"/>
        <w:rPr>
          <w:rFonts w:ascii="Arial" w:eastAsia="SimSun" w:hAnsi="Arial" w:cs="Arial"/>
        </w:rPr>
      </w:pPr>
      <w:r w:rsidRPr="00EB58B0">
        <w:rPr>
          <w:rFonts w:ascii="Arial" w:eastAsia="SimSun" w:hAnsi="Arial" w:cs="Arial"/>
        </w:rPr>
        <w:lastRenderedPageBreak/>
        <w:t xml:space="preserve">No IAA deste ano, a </w:t>
      </w:r>
      <w:proofErr w:type="spellStart"/>
      <w:proofErr w:type="gramStart"/>
      <w:r w:rsidRPr="00EB58B0">
        <w:rPr>
          <w:rFonts w:ascii="Arial" w:eastAsia="SimSun" w:hAnsi="Arial" w:cs="Arial"/>
        </w:rPr>
        <w:t>BorgWarner</w:t>
      </w:r>
      <w:proofErr w:type="spellEnd"/>
      <w:proofErr w:type="gramEnd"/>
      <w:r w:rsidRPr="00EB58B0">
        <w:rPr>
          <w:rFonts w:ascii="Arial" w:eastAsia="SimSun" w:hAnsi="Arial" w:cs="Arial"/>
        </w:rPr>
        <w:t xml:space="preserve"> </w:t>
      </w:r>
      <w:r w:rsidR="00EB4093" w:rsidRPr="00EB58B0">
        <w:rPr>
          <w:rFonts w:ascii="Arial" w:eastAsia="SimSun" w:hAnsi="Arial" w:cs="Arial"/>
        </w:rPr>
        <w:t>apresentará</w:t>
      </w:r>
      <w:r w:rsidRPr="00EB58B0">
        <w:rPr>
          <w:rFonts w:ascii="Arial" w:eastAsia="SimSun" w:hAnsi="Arial" w:cs="Arial"/>
        </w:rPr>
        <w:t xml:space="preserve"> seus sistemas de ponta projetados para a </w:t>
      </w:r>
      <w:r w:rsidR="00CC0A2B" w:rsidRPr="00EB58B0">
        <w:rPr>
          <w:rFonts w:ascii="Arial" w:eastAsia="SimSun" w:hAnsi="Arial" w:cs="Arial"/>
        </w:rPr>
        <w:t xml:space="preserve">transição para a </w:t>
      </w:r>
      <w:r w:rsidRPr="00EB58B0">
        <w:rPr>
          <w:rFonts w:ascii="Arial" w:eastAsia="SimSun" w:hAnsi="Arial" w:cs="Arial"/>
        </w:rPr>
        <w:t xml:space="preserve">mobilidade elétrica com a mais recente adição ao seu portfólio de produtos: </w:t>
      </w:r>
      <w:r w:rsidR="00CC0A2B" w:rsidRPr="00EB58B0">
        <w:rPr>
          <w:rFonts w:ascii="Arial" w:eastAsia="SimSun" w:hAnsi="Arial" w:cs="Arial"/>
        </w:rPr>
        <w:t xml:space="preserve">packs de </w:t>
      </w:r>
      <w:r w:rsidRPr="00EB58B0">
        <w:rPr>
          <w:rFonts w:ascii="Arial" w:eastAsia="SimSun" w:hAnsi="Arial" w:cs="Arial"/>
        </w:rPr>
        <w:t>bateria compact</w:t>
      </w:r>
      <w:r w:rsidR="00CC0A2B" w:rsidRPr="00EB58B0">
        <w:rPr>
          <w:rFonts w:ascii="Arial" w:eastAsia="SimSun" w:hAnsi="Arial" w:cs="Arial"/>
        </w:rPr>
        <w:t>os p</w:t>
      </w:r>
      <w:r w:rsidRPr="00EB58B0">
        <w:rPr>
          <w:rFonts w:ascii="Arial" w:eastAsia="SimSun" w:hAnsi="Arial" w:cs="Arial"/>
        </w:rPr>
        <w:t xml:space="preserve">ara veículos elétricos. Eles apresentam células cilíndricas padrão em </w:t>
      </w:r>
      <w:r w:rsidR="00CC0A2B" w:rsidRPr="00EB58B0">
        <w:rPr>
          <w:rFonts w:ascii="Arial" w:eastAsia="SimSun" w:hAnsi="Arial" w:cs="Arial"/>
        </w:rPr>
        <w:t>formatos</w:t>
      </w:r>
      <w:r w:rsidRPr="00EB58B0">
        <w:rPr>
          <w:rFonts w:ascii="Arial" w:eastAsia="SimSun" w:hAnsi="Arial" w:cs="Arial"/>
        </w:rPr>
        <w:t xml:space="preserve"> compactos para densidade de energia excepcional. Juntamente com a engenharia térmica proprietária e gerenciamento de bateria que leva a um alcance e desempenho inovadores. </w:t>
      </w:r>
      <w:proofErr w:type="gramStart"/>
      <w:r w:rsidRPr="00EB58B0">
        <w:rPr>
          <w:rFonts w:ascii="Arial" w:eastAsia="SimSun" w:hAnsi="Arial" w:cs="Arial"/>
        </w:rPr>
        <w:t xml:space="preserve">Designs </w:t>
      </w:r>
      <w:r w:rsidR="00CC0A2B" w:rsidRPr="00EB58B0">
        <w:rPr>
          <w:rFonts w:ascii="Arial" w:eastAsia="SimSun" w:hAnsi="Arial" w:cs="Arial"/>
        </w:rPr>
        <w:t>re</w:t>
      </w:r>
      <w:r w:rsidRPr="00EB58B0">
        <w:rPr>
          <w:rFonts w:ascii="Arial" w:eastAsia="SimSun" w:hAnsi="Arial" w:cs="Arial"/>
        </w:rPr>
        <w:t>dimensionáveis</w:t>
      </w:r>
      <w:proofErr w:type="gramEnd"/>
      <w:r w:rsidRPr="00EB58B0">
        <w:rPr>
          <w:rFonts w:ascii="Arial" w:eastAsia="SimSun" w:hAnsi="Arial" w:cs="Arial"/>
        </w:rPr>
        <w:t xml:space="preserve"> ​​permitem uma entrada mais rápida no mercado </w:t>
      </w:r>
      <w:r w:rsidR="00CC0A2B" w:rsidRPr="00EB58B0">
        <w:rPr>
          <w:rFonts w:ascii="Arial" w:eastAsia="SimSun" w:hAnsi="Arial" w:cs="Arial"/>
        </w:rPr>
        <w:t>a</w:t>
      </w:r>
      <w:r w:rsidRPr="00EB58B0">
        <w:rPr>
          <w:rFonts w:ascii="Arial" w:eastAsia="SimSun" w:hAnsi="Arial" w:cs="Arial"/>
        </w:rPr>
        <w:t xml:space="preserve"> clientes com módulos personalizados.</w:t>
      </w:r>
    </w:p>
    <w:p w:rsidR="00CC10EC" w:rsidRPr="00EB58B0" w:rsidRDefault="00CC10EC" w:rsidP="009247D7">
      <w:pPr>
        <w:spacing w:line="360" w:lineRule="auto"/>
        <w:ind w:firstLine="709"/>
        <w:jc w:val="both"/>
        <w:rPr>
          <w:rFonts w:ascii="Arial" w:eastAsia="SimSun" w:hAnsi="Arial" w:cs="Arial"/>
        </w:rPr>
      </w:pPr>
      <w:r w:rsidRPr="00EB58B0">
        <w:rPr>
          <w:rFonts w:ascii="Arial" w:eastAsia="SimSun" w:hAnsi="Arial" w:cs="Arial"/>
        </w:rPr>
        <w:t xml:space="preserve">A empresa também apresentará seu módulo de </w:t>
      </w:r>
      <w:r w:rsidR="00CC0A2B" w:rsidRPr="00EB58B0">
        <w:rPr>
          <w:rFonts w:ascii="Arial" w:eastAsia="SimSun" w:hAnsi="Arial" w:cs="Arial"/>
        </w:rPr>
        <w:t>acionamento</w:t>
      </w:r>
      <w:r w:rsidRPr="00EB58B0">
        <w:rPr>
          <w:rFonts w:ascii="Arial" w:eastAsia="SimSun" w:hAnsi="Arial" w:cs="Arial"/>
        </w:rPr>
        <w:t xml:space="preserve"> integrado, </w:t>
      </w:r>
      <w:proofErr w:type="spellStart"/>
      <w:proofErr w:type="gramStart"/>
      <w:r w:rsidRPr="00EB58B0">
        <w:rPr>
          <w:rFonts w:ascii="Arial" w:eastAsia="SimSun" w:hAnsi="Arial" w:cs="Arial"/>
        </w:rPr>
        <w:t>iDM</w:t>
      </w:r>
      <w:proofErr w:type="spellEnd"/>
      <w:proofErr w:type="gramEnd"/>
      <w:r w:rsidRPr="00EB58B0">
        <w:rPr>
          <w:rFonts w:ascii="Arial" w:eastAsia="SimSun" w:hAnsi="Arial" w:cs="Arial"/>
        </w:rPr>
        <w:t xml:space="preserve">. Esta solução de sistema combina eletrônica de potência especialmente desenvolvida com um motor elétrico e tecnologia de transmissão em um único pacote compacto. Outros exemplos importantes de sistemas </w:t>
      </w:r>
      <w:r w:rsidR="00BE45EA" w:rsidRPr="00EB58B0">
        <w:rPr>
          <w:rFonts w:ascii="Arial" w:eastAsia="SimSun" w:hAnsi="Arial" w:cs="Arial"/>
        </w:rPr>
        <w:t xml:space="preserve">da empresa </w:t>
      </w:r>
      <w:r w:rsidRPr="00EB58B0">
        <w:rPr>
          <w:rFonts w:ascii="Arial" w:eastAsia="SimSun" w:hAnsi="Arial" w:cs="Arial"/>
        </w:rPr>
        <w:t xml:space="preserve">são os módulos híbridos P2 </w:t>
      </w:r>
      <w:r w:rsidR="00BE45EA" w:rsidRPr="00EB58B0">
        <w:rPr>
          <w:rFonts w:ascii="Arial" w:eastAsia="SimSun" w:hAnsi="Arial" w:cs="Arial"/>
        </w:rPr>
        <w:t>no eixo e fora do eixo</w:t>
      </w:r>
      <w:r w:rsidRPr="00EB58B0">
        <w:rPr>
          <w:rFonts w:ascii="Arial" w:eastAsia="SimSun" w:hAnsi="Arial" w:cs="Arial"/>
        </w:rPr>
        <w:t xml:space="preserve">, que fornecem </w:t>
      </w:r>
      <w:r w:rsidR="00EB4093" w:rsidRPr="00EB58B0">
        <w:rPr>
          <w:rFonts w:ascii="Arial" w:eastAsia="SimSun" w:hAnsi="Arial" w:cs="Arial"/>
        </w:rPr>
        <w:t>às montadoras</w:t>
      </w:r>
      <w:r w:rsidRPr="00EB58B0">
        <w:rPr>
          <w:rFonts w:ascii="Arial" w:eastAsia="SimSun" w:hAnsi="Arial" w:cs="Arial"/>
        </w:rPr>
        <w:t xml:space="preserve"> a flexibilidade de converter seus veículos existentes movidos </w:t>
      </w:r>
      <w:proofErr w:type="gramStart"/>
      <w:r w:rsidRPr="00EB58B0">
        <w:rPr>
          <w:rFonts w:ascii="Arial" w:eastAsia="SimSun" w:hAnsi="Arial" w:cs="Arial"/>
        </w:rPr>
        <w:t>a</w:t>
      </w:r>
      <w:proofErr w:type="gramEnd"/>
      <w:r w:rsidRPr="00EB58B0">
        <w:rPr>
          <w:rFonts w:ascii="Arial" w:eastAsia="SimSun" w:hAnsi="Arial" w:cs="Arial"/>
        </w:rPr>
        <w:t xml:space="preserve"> combustão para aplicações híbridas, sem ter que alterar o motor ou a transmissão. A solução </w:t>
      </w:r>
      <w:r w:rsidR="00BE45EA" w:rsidRPr="00EB58B0">
        <w:rPr>
          <w:rFonts w:ascii="Arial" w:eastAsia="SimSun" w:hAnsi="Arial" w:cs="Arial"/>
        </w:rPr>
        <w:t xml:space="preserve">de </w:t>
      </w:r>
      <w:proofErr w:type="gramStart"/>
      <w:r w:rsidRPr="00EB58B0">
        <w:rPr>
          <w:rFonts w:ascii="Arial" w:eastAsia="SimSun" w:hAnsi="Arial" w:cs="Arial"/>
        </w:rPr>
        <w:t>48V</w:t>
      </w:r>
      <w:proofErr w:type="gramEnd"/>
      <w:r w:rsidRPr="00EB58B0">
        <w:rPr>
          <w:rFonts w:ascii="Arial" w:eastAsia="SimSun" w:hAnsi="Arial" w:cs="Arial"/>
        </w:rPr>
        <w:t xml:space="preserve"> facilita a rápida </w:t>
      </w:r>
      <w:r w:rsidR="00BE45EA" w:rsidRPr="00EB58B0">
        <w:rPr>
          <w:rFonts w:ascii="Arial" w:eastAsia="SimSun" w:hAnsi="Arial" w:cs="Arial"/>
        </w:rPr>
        <w:t>inserção</w:t>
      </w:r>
      <w:r w:rsidRPr="00EB58B0">
        <w:rPr>
          <w:rFonts w:ascii="Arial" w:eastAsia="SimSun" w:hAnsi="Arial" w:cs="Arial"/>
        </w:rPr>
        <w:t xml:space="preserve"> no mercado, permitindo a condução elétrica pura, bem como funcionalidades híbridas, como </w:t>
      </w:r>
      <w:r w:rsidR="00BE45EA" w:rsidRPr="00EB58B0">
        <w:rPr>
          <w:rFonts w:ascii="Arial" w:eastAsia="SimSun" w:hAnsi="Arial" w:cs="Arial"/>
        </w:rPr>
        <w:t>start/stop</w:t>
      </w:r>
      <w:r w:rsidRPr="00EB58B0">
        <w:rPr>
          <w:rFonts w:ascii="Arial" w:eastAsia="SimSun" w:hAnsi="Arial" w:cs="Arial"/>
        </w:rPr>
        <w:t xml:space="preserve"> e frenagem regenerativa.</w:t>
      </w:r>
    </w:p>
    <w:p w:rsidR="00CC10EC" w:rsidRPr="00EB58B0" w:rsidRDefault="00CC10EC" w:rsidP="009247D7">
      <w:pPr>
        <w:spacing w:line="360" w:lineRule="auto"/>
        <w:ind w:firstLine="709"/>
        <w:jc w:val="both"/>
        <w:rPr>
          <w:rFonts w:ascii="Arial" w:eastAsia="SimSun" w:hAnsi="Arial" w:cs="Arial"/>
        </w:rPr>
      </w:pPr>
      <w:r w:rsidRPr="00EB58B0">
        <w:rPr>
          <w:rFonts w:ascii="Arial" w:eastAsia="SimSun" w:hAnsi="Arial" w:cs="Arial"/>
        </w:rPr>
        <w:t xml:space="preserve">O desenvolvimento do </w:t>
      </w:r>
      <w:proofErr w:type="spellStart"/>
      <w:proofErr w:type="gramStart"/>
      <w:r w:rsidRPr="00EB58B0">
        <w:rPr>
          <w:rFonts w:ascii="Arial" w:eastAsia="SimSun" w:hAnsi="Arial" w:cs="Arial"/>
        </w:rPr>
        <w:t>eTurbo</w:t>
      </w:r>
      <w:proofErr w:type="spellEnd"/>
      <w:proofErr w:type="gramEnd"/>
      <w:r w:rsidRPr="00EB58B0">
        <w:rPr>
          <w:rFonts w:ascii="Arial" w:eastAsia="SimSun" w:hAnsi="Arial" w:cs="Arial"/>
        </w:rPr>
        <w:t xml:space="preserve"> sendo </w:t>
      </w:r>
      <w:r w:rsidR="00BE45EA" w:rsidRPr="00EB58B0">
        <w:rPr>
          <w:rFonts w:ascii="Arial" w:eastAsia="SimSun" w:hAnsi="Arial" w:cs="Arial"/>
        </w:rPr>
        <w:t>apresentado</w:t>
      </w:r>
      <w:r w:rsidRPr="00EB58B0">
        <w:rPr>
          <w:rFonts w:ascii="Arial" w:eastAsia="SimSun" w:hAnsi="Arial" w:cs="Arial"/>
        </w:rPr>
        <w:t xml:space="preserve"> ao lado dessas inovações, é um </w:t>
      </w:r>
      <w:proofErr w:type="spellStart"/>
      <w:r w:rsidRPr="00EB58B0">
        <w:rPr>
          <w:rFonts w:ascii="Arial" w:eastAsia="SimSun" w:hAnsi="Arial" w:cs="Arial"/>
        </w:rPr>
        <w:t>turbocompressor</w:t>
      </w:r>
      <w:proofErr w:type="spellEnd"/>
      <w:r w:rsidRPr="00EB58B0">
        <w:rPr>
          <w:rFonts w:ascii="Arial" w:eastAsia="SimSun" w:hAnsi="Arial" w:cs="Arial"/>
        </w:rPr>
        <w:t xml:space="preserve"> com um motor-gerador de e-</w:t>
      </w:r>
      <w:proofErr w:type="spellStart"/>
      <w:r w:rsidRPr="00EB58B0">
        <w:rPr>
          <w:rFonts w:ascii="Arial" w:eastAsia="SimSun" w:hAnsi="Arial" w:cs="Arial"/>
        </w:rPr>
        <w:t>machine</w:t>
      </w:r>
      <w:proofErr w:type="spellEnd"/>
      <w:r w:rsidRPr="00EB58B0">
        <w:rPr>
          <w:rFonts w:ascii="Arial" w:eastAsia="SimSun" w:hAnsi="Arial" w:cs="Arial"/>
        </w:rPr>
        <w:t xml:space="preserve"> ligado ao mesmo eixo único que a turbina. Quando assistência é necessária, a</w:t>
      </w:r>
      <w:r w:rsidR="00BE45EA" w:rsidRPr="00EB58B0">
        <w:rPr>
          <w:rFonts w:ascii="Arial" w:eastAsia="SimSun" w:hAnsi="Arial" w:cs="Arial"/>
        </w:rPr>
        <w:t xml:space="preserve"> e-</w:t>
      </w:r>
      <w:proofErr w:type="spellStart"/>
      <w:r w:rsidR="00BE45EA" w:rsidRPr="00EB58B0">
        <w:rPr>
          <w:rFonts w:ascii="Arial" w:eastAsia="SimSun" w:hAnsi="Arial" w:cs="Arial"/>
        </w:rPr>
        <w:t>machine</w:t>
      </w:r>
      <w:proofErr w:type="spellEnd"/>
      <w:r w:rsidRPr="00EB58B0">
        <w:rPr>
          <w:rFonts w:ascii="Arial" w:eastAsia="SimSun" w:hAnsi="Arial" w:cs="Arial"/>
        </w:rPr>
        <w:t xml:space="preserve"> gira o eixo do turbo proporcionando um aumento de torque quase instantâneo. No entanto, quando mais energia da turbina é gerada </w:t>
      </w:r>
      <w:r w:rsidR="00EB4093" w:rsidRPr="00EB58B0">
        <w:rPr>
          <w:rFonts w:ascii="Arial" w:eastAsia="SimSun" w:hAnsi="Arial" w:cs="Arial"/>
        </w:rPr>
        <w:t xml:space="preserve">além do necessário </w:t>
      </w:r>
      <w:r w:rsidRPr="00EB58B0">
        <w:rPr>
          <w:rFonts w:ascii="Arial" w:eastAsia="SimSun" w:hAnsi="Arial" w:cs="Arial"/>
        </w:rPr>
        <w:t>a partir do fluxo d</w:t>
      </w:r>
      <w:r w:rsidR="00EB4093" w:rsidRPr="00EB58B0">
        <w:rPr>
          <w:rFonts w:ascii="Arial" w:eastAsia="SimSun" w:hAnsi="Arial" w:cs="Arial"/>
        </w:rPr>
        <w:t>a</w:t>
      </w:r>
      <w:r w:rsidRPr="00EB58B0">
        <w:rPr>
          <w:rFonts w:ascii="Arial" w:eastAsia="SimSun" w:hAnsi="Arial" w:cs="Arial"/>
        </w:rPr>
        <w:t xml:space="preserve"> exaustão, a </w:t>
      </w:r>
      <w:r w:rsidR="00EB4093" w:rsidRPr="00EB58B0">
        <w:rPr>
          <w:rFonts w:ascii="Arial" w:eastAsia="SimSun" w:hAnsi="Arial" w:cs="Arial"/>
        </w:rPr>
        <w:t>e-</w:t>
      </w:r>
      <w:proofErr w:type="spellStart"/>
      <w:r w:rsidR="00EB4093" w:rsidRPr="00EB58B0">
        <w:rPr>
          <w:rFonts w:ascii="Arial" w:eastAsia="SimSun" w:hAnsi="Arial" w:cs="Arial"/>
        </w:rPr>
        <w:t>machine</w:t>
      </w:r>
      <w:proofErr w:type="spellEnd"/>
      <w:r w:rsidRPr="00EB58B0">
        <w:rPr>
          <w:rFonts w:ascii="Arial" w:eastAsia="SimSun" w:hAnsi="Arial" w:cs="Arial"/>
        </w:rPr>
        <w:t xml:space="preserve"> </w:t>
      </w:r>
      <w:r w:rsidR="00EB4093" w:rsidRPr="00EB58B0">
        <w:rPr>
          <w:rFonts w:ascii="Arial" w:eastAsia="SimSun" w:hAnsi="Arial" w:cs="Arial"/>
        </w:rPr>
        <w:t xml:space="preserve">a </w:t>
      </w:r>
      <w:r w:rsidRPr="00EB58B0">
        <w:rPr>
          <w:rFonts w:ascii="Arial" w:eastAsia="SimSun" w:hAnsi="Arial" w:cs="Arial"/>
        </w:rPr>
        <w:t>co</w:t>
      </w:r>
      <w:r w:rsidR="00EB4093" w:rsidRPr="00EB58B0">
        <w:rPr>
          <w:rFonts w:ascii="Arial" w:eastAsia="SimSun" w:hAnsi="Arial" w:cs="Arial"/>
        </w:rPr>
        <w:t>nverte</w:t>
      </w:r>
      <w:r w:rsidRPr="00EB58B0">
        <w:rPr>
          <w:rFonts w:ascii="Arial" w:eastAsia="SimSun" w:hAnsi="Arial" w:cs="Arial"/>
        </w:rPr>
        <w:t xml:space="preserve"> em energia elétrica.</w:t>
      </w:r>
    </w:p>
    <w:p w:rsidR="00CC10EC" w:rsidRPr="00EB58B0" w:rsidRDefault="00CC10EC" w:rsidP="009247D7">
      <w:pPr>
        <w:spacing w:line="360" w:lineRule="auto"/>
        <w:jc w:val="both"/>
        <w:rPr>
          <w:rFonts w:ascii="Arial" w:eastAsia="SimSun" w:hAnsi="Arial" w:cs="Arial"/>
        </w:rPr>
      </w:pPr>
      <w:r w:rsidRPr="00EB58B0">
        <w:rPr>
          <w:rFonts w:ascii="Arial" w:eastAsia="SimSun" w:hAnsi="Arial" w:cs="Arial"/>
        </w:rPr>
        <w:t>Como pode ser visto no IAA</w:t>
      </w:r>
      <w:r w:rsidR="00EB4093" w:rsidRPr="00EB58B0">
        <w:rPr>
          <w:rFonts w:ascii="Arial" w:eastAsia="SimSun" w:hAnsi="Arial" w:cs="Arial"/>
        </w:rPr>
        <w:t>,</w:t>
      </w:r>
      <w:r w:rsidRPr="00EB58B0">
        <w:rPr>
          <w:rFonts w:ascii="Arial" w:eastAsia="SimSun" w:hAnsi="Arial" w:cs="Arial"/>
        </w:rPr>
        <w:t xml:space="preserve"> A </w:t>
      </w:r>
      <w:proofErr w:type="spellStart"/>
      <w:proofErr w:type="gramStart"/>
      <w:r w:rsidRPr="00EB58B0">
        <w:rPr>
          <w:rFonts w:ascii="Arial" w:eastAsia="SimSun" w:hAnsi="Arial" w:cs="Arial"/>
        </w:rPr>
        <w:t>BorgWarner</w:t>
      </w:r>
      <w:proofErr w:type="spellEnd"/>
      <w:proofErr w:type="gramEnd"/>
      <w:r w:rsidRPr="00EB58B0">
        <w:rPr>
          <w:rFonts w:ascii="Arial" w:eastAsia="SimSun" w:hAnsi="Arial" w:cs="Arial"/>
        </w:rPr>
        <w:t xml:space="preserve"> possui um extenso portfólio de soluções para veículos híbridos e elétricos. Desta forma, a empresa apoia seus clientes com toda a </w:t>
      </w:r>
      <w:r w:rsidR="000F523B" w:rsidRPr="00EB58B0">
        <w:rPr>
          <w:rFonts w:ascii="Arial" w:eastAsia="SimSun" w:hAnsi="Arial" w:cs="Arial"/>
        </w:rPr>
        <w:t>gama</w:t>
      </w:r>
      <w:r w:rsidRPr="00EB58B0">
        <w:rPr>
          <w:rFonts w:ascii="Arial" w:eastAsia="SimSun" w:hAnsi="Arial" w:cs="Arial"/>
        </w:rPr>
        <w:t xml:space="preserve"> de produtos para mobilidade eletrificada </w:t>
      </w:r>
      <w:r w:rsidR="000F523B" w:rsidRPr="00EB58B0">
        <w:rPr>
          <w:rFonts w:ascii="Arial" w:eastAsia="SimSun" w:hAnsi="Arial" w:cs="Arial"/>
        </w:rPr>
        <w:t>−</w:t>
      </w:r>
      <w:r w:rsidRPr="00EB58B0">
        <w:rPr>
          <w:rFonts w:ascii="Arial" w:eastAsia="SimSun" w:hAnsi="Arial" w:cs="Arial"/>
        </w:rPr>
        <w:t xml:space="preserve"> desde a carga até a propulsão.</w:t>
      </w:r>
    </w:p>
    <w:sdt>
      <w:sdtPr>
        <w:rPr>
          <w:rFonts w:ascii="Arial" w:eastAsia="Batang" w:hAnsi="Arial" w:cs="Arial"/>
          <w:b/>
          <w:lang w:eastAsia="pt-BR" w:bidi="pt-BR"/>
        </w:rPr>
        <w:id w:val="-260145268"/>
      </w:sdtPr>
      <w:sdtEndPr/>
      <w:sdtContent>
        <w:p w:rsidR="000F523B" w:rsidRPr="00EB58B0" w:rsidRDefault="000F523B" w:rsidP="009247D7">
          <w:pPr>
            <w:spacing w:after="0" w:line="360" w:lineRule="auto"/>
            <w:jc w:val="both"/>
            <w:rPr>
              <w:rFonts w:ascii="Arial" w:eastAsia="Batang" w:hAnsi="Arial" w:cs="Arial"/>
              <w:b/>
              <w:lang w:eastAsia="pt-BR" w:bidi="pt-BR"/>
            </w:rPr>
          </w:pPr>
          <w:r w:rsidRPr="000F523B">
            <w:rPr>
              <w:rFonts w:ascii="Arial" w:eastAsia="Batang" w:hAnsi="Arial" w:cs="Arial"/>
              <w:b/>
              <w:lang w:eastAsia="pt-BR" w:bidi="pt-BR"/>
            </w:rPr>
            <w:t xml:space="preserve">Sobre a </w:t>
          </w:r>
          <w:proofErr w:type="spellStart"/>
          <w:proofErr w:type="gramStart"/>
          <w:r w:rsidRPr="000F523B">
            <w:rPr>
              <w:rFonts w:ascii="Arial" w:eastAsia="Batang" w:hAnsi="Arial" w:cs="Arial"/>
              <w:b/>
              <w:lang w:eastAsia="pt-BR" w:bidi="pt-BR"/>
            </w:rPr>
            <w:t>BorgWarner</w:t>
          </w:r>
          <w:proofErr w:type="spellEnd"/>
          <w:proofErr w:type="gramEnd"/>
        </w:p>
      </w:sdtContent>
    </w:sdt>
    <w:sdt>
      <w:sdtPr>
        <w:rPr>
          <w:rFonts w:ascii="Arial" w:eastAsia="SimSun" w:hAnsi="Arial"/>
          <w:lang w:eastAsia="pt-BR" w:bidi="pt-BR"/>
        </w:rPr>
        <w:id w:val="-1209102154"/>
      </w:sdtPr>
      <w:sdtEndPr/>
      <w:sdtContent>
        <w:p w:rsidR="000F523B" w:rsidRPr="000F523B" w:rsidRDefault="000F523B" w:rsidP="009247D7">
          <w:pPr>
            <w:spacing w:after="0" w:line="360" w:lineRule="auto"/>
            <w:ind w:firstLine="720"/>
            <w:jc w:val="both"/>
            <w:rPr>
              <w:rFonts w:ascii="Arial" w:eastAsia="SimSun" w:hAnsi="Arial"/>
              <w:lang w:val="en-US" w:eastAsia="pt-BR" w:bidi="pt-BR"/>
            </w:rPr>
          </w:pPr>
          <w:r w:rsidRPr="000F523B">
            <w:rPr>
              <w:rFonts w:ascii="Arial" w:eastAsia="SimSun" w:hAnsi="Arial"/>
              <w:lang w:eastAsia="pt-BR" w:bidi="pt-BR"/>
            </w:rPr>
            <w:t xml:space="preserve">A </w:t>
          </w:r>
          <w:proofErr w:type="spellStart"/>
          <w:proofErr w:type="gramStart"/>
          <w:r w:rsidRPr="000F523B">
            <w:rPr>
              <w:rFonts w:ascii="Arial" w:eastAsia="SimSun" w:hAnsi="Arial"/>
              <w:lang w:eastAsia="pt-BR" w:bidi="pt-BR"/>
            </w:rPr>
            <w:t>BorgWarner</w:t>
          </w:r>
          <w:proofErr w:type="spellEnd"/>
          <w:proofErr w:type="gramEnd"/>
          <w:r w:rsidRPr="000F523B">
            <w:rPr>
              <w:rFonts w:ascii="Arial" w:eastAsia="SimSun" w:hAnsi="Arial"/>
              <w:lang w:eastAsia="pt-BR" w:bidi="pt-BR"/>
            </w:rPr>
            <w:t xml:space="preserve"> Inc. (NYSE: BWA) é líder mundial em soluções de tecnologia limpas e eficientes para veículos de combustão, híbridos e elétricos. Com instalações industriais e técnicas em 6</w:t>
          </w:r>
          <w:r w:rsidR="00014FAC">
            <w:rPr>
              <w:rFonts w:ascii="Arial" w:eastAsia="SimSun" w:hAnsi="Arial"/>
              <w:lang w:eastAsia="pt-BR" w:bidi="pt-BR"/>
            </w:rPr>
            <w:t>7</w:t>
          </w:r>
          <w:r w:rsidRPr="000F523B">
            <w:rPr>
              <w:rFonts w:ascii="Arial" w:eastAsia="SimSun" w:hAnsi="Arial"/>
              <w:lang w:eastAsia="pt-BR" w:bidi="pt-BR"/>
            </w:rPr>
            <w:t xml:space="preserve"> locais em 19 países, a empresa emprega aproximadamente 30.000 pessoas em todo o mundo. Para mais informações, visite borgwarner.com.</w:t>
          </w:r>
        </w:p>
      </w:sdtContent>
    </w:sdt>
    <w:p w:rsidR="000F523B" w:rsidRPr="000F523B" w:rsidRDefault="000F523B" w:rsidP="000F523B">
      <w:pPr>
        <w:spacing w:after="0" w:line="360" w:lineRule="auto"/>
        <w:rPr>
          <w:rFonts w:ascii="Arial" w:eastAsia="SimSun" w:hAnsi="Arial" w:cs="Arial"/>
          <w:szCs w:val="24"/>
          <w:lang w:val="en-GB"/>
        </w:rPr>
      </w:pPr>
    </w:p>
    <w:p w:rsidR="00663D83" w:rsidRDefault="00663D83" w:rsidP="00663D83">
      <w:pPr>
        <w:jc w:val="center"/>
        <w:rPr>
          <w:rFonts w:eastAsia="Times New Roman" w:cs="Arial"/>
          <w:lang w:val="en-US"/>
        </w:rPr>
      </w:pPr>
      <w:r>
        <w:rPr>
          <w:rFonts w:cs="Arial"/>
          <w:noProof/>
          <w:lang w:eastAsia="pt-BR"/>
        </w:rPr>
        <w:lastRenderedPageBreak/>
        <w:drawing>
          <wp:inline distT="0" distB="0" distL="0" distR="0" wp14:anchorId="2761FC5D" wp14:editId="751B3B8C">
            <wp:extent cx="3681493" cy="2762559"/>
            <wp:effectExtent l="0" t="0" r="0" b="0"/>
            <wp:docPr id="1" name="Grafik 1" descr="C:\Users\textcom03\AppData\Local\Microsoft\Windows\INetCache\Content.Word\BorgWarner_at_IAA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xtcom03\AppData\Local\Microsoft\Windows\INetCache\Content.Word\BorgWarner_at_IAA_2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9126" cy="2775790"/>
                    </a:xfrm>
                    <a:prstGeom prst="rect">
                      <a:avLst/>
                    </a:prstGeom>
                    <a:noFill/>
                    <a:ln>
                      <a:noFill/>
                    </a:ln>
                  </pic:spPr>
                </pic:pic>
              </a:graphicData>
            </a:graphic>
          </wp:inline>
        </w:drawing>
      </w:r>
    </w:p>
    <w:p w:rsidR="00663D83" w:rsidRPr="003D49F5" w:rsidRDefault="00663D83" w:rsidP="00663D83">
      <w:pPr>
        <w:jc w:val="center"/>
        <w:rPr>
          <w:rFonts w:eastAsia="Times New Roman" w:cs="Arial"/>
          <w:lang w:val="en-US"/>
        </w:rPr>
      </w:pPr>
    </w:p>
    <w:p w:rsidR="00014FAC" w:rsidRPr="00EB58B0" w:rsidRDefault="000F523B" w:rsidP="009247D7">
      <w:pPr>
        <w:pStyle w:val="Recuodecorpodetexto"/>
        <w:jc w:val="center"/>
        <w:rPr>
          <w:rFonts w:eastAsia="Times New Roman" w:cs="Arial"/>
          <w:sz w:val="22"/>
          <w:szCs w:val="22"/>
          <w:lang w:val="pt-BR"/>
        </w:rPr>
      </w:pPr>
      <w:r w:rsidRPr="00EB58B0">
        <w:rPr>
          <w:rFonts w:eastAsia="Times New Roman" w:cs="Arial"/>
          <w:sz w:val="22"/>
          <w:szCs w:val="22"/>
          <w:lang w:val="pt-BR"/>
        </w:rPr>
        <w:t xml:space="preserve">No IAA deste ano, a </w:t>
      </w:r>
      <w:proofErr w:type="spellStart"/>
      <w:proofErr w:type="gramStart"/>
      <w:r w:rsidRPr="00EB58B0">
        <w:rPr>
          <w:rFonts w:eastAsia="Times New Roman" w:cs="Arial"/>
          <w:sz w:val="22"/>
          <w:szCs w:val="22"/>
          <w:lang w:val="pt-BR"/>
        </w:rPr>
        <w:t>BorgWarner</w:t>
      </w:r>
      <w:proofErr w:type="spellEnd"/>
      <w:proofErr w:type="gramEnd"/>
      <w:r w:rsidRPr="00EB58B0">
        <w:rPr>
          <w:rFonts w:eastAsia="Times New Roman" w:cs="Arial"/>
          <w:sz w:val="22"/>
          <w:szCs w:val="22"/>
          <w:lang w:val="pt-BR"/>
        </w:rPr>
        <w:t xml:space="preserve"> apresenta soluções para veículos híbridos e elétricos, como o módulo P2 (esquerda), packs de bateria (centro) e o </w:t>
      </w:r>
      <w:proofErr w:type="spellStart"/>
      <w:r w:rsidRPr="00EB58B0">
        <w:rPr>
          <w:rFonts w:eastAsia="Times New Roman" w:cs="Arial"/>
          <w:sz w:val="22"/>
          <w:szCs w:val="22"/>
          <w:lang w:val="pt-BR"/>
        </w:rPr>
        <w:t>eAxle</w:t>
      </w:r>
      <w:proofErr w:type="spellEnd"/>
      <w:r w:rsidRPr="00EB58B0">
        <w:rPr>
          <w:rFonts w:eastAsia="Times New Roman" w:cs="Arial"/>
          <w:sz w:val="22"/>
          <w:szCs w:val="22"/>
          <w:lang w:val="pt-BR"/>
        </w:rPr>
        <w:t xml:space="preserve"> </w:t>
      </w:r>
      <w:proofErr w:type="spellStart"/>
      <w:r w:rsidRPr="00EB58B0">
        <w:rPr>
          <w:rFonts w:eastAsia="Times New Roman" w:cs="Arial"/>
          <w:sz w:val="22"/>
          <w:szCs w:val="22"/>
          <w:lang w:val="pt-BR"/>
        </w:rPr>
        <w:t>iDM</w:t>
      </w:r>
      <w:proofErr w:type="spellEnd"/>
      <w:r w:rsidRPr="00EB58B0">
        <w:rPr>
          <w:rFonts w:eastAsia="Times New Roman" w:cs="Arial"/>
          <w:sz w:val="22"/>
          <w:szCs w:val="22"/>
          <w:lang w:val="pt-BR"/>
        </w:rPr>
        <w:t xml:space="preserve"> (direita).</w:t>
      </w:r>
    </w:p>
    <w:p w:rsidR="00663D83" w:rsidRPr="00EB58B0" w:rsidRDefault="000F523B" w:rsidP="00663D83">
      <w:pPr>
        <w:pStyle w:val="Recuodecorpodetexto"/>
        <w:jc w:val="center"/>
        <w:rPr>
          <w:rFonts w:eastAsia="Times New Roman" w:cs="Arial"/>
          <w:sz w:val="22"/>
          <w:szCs w:val="22"/>
          <w:lang w:val="pt-BR"/>
        </w:rPr>
      </w:pPr>
      <w:r w:rsidRPr="00EB58B0">
        <w:rPr>
          <w:rFonts w:eastAsia="Times New Roman" w:cs="Arial"/>
          <w:sz w:val="22"/>
          <w:szCs w:val="22"/>
          <w:lang w:val="pt-BR"/>
        </w:rPr>
        <w:t xml:space="preserve"> </w:t>
      </w:r>
    </w:p>
    <w:p w:rsidR="00663D83" w:rsidRDefault="00663D83" w:rsidP="009247D7">
      <w:pPr>
        <w:spacing w:before="120" w:after="320" w:line="360" w:lineRule="auto"/>
        <w:jc w:val="both"/>
        <w:rPr>
          <w:rFonts w:ascii="Arial" w:eastAsia="Times New Roman" w:hAnsi="Arial" w:cs="Arial"/>
          <w:bCs/>
          <w:sz w:val="18"/>
          <w:szCs w:val="16"/>
          <w:lang w:val="en-US"/>
        </w:rPr>
      </w:pPr>
      <w:r w:rsidRPr="00D72D96">
        <w:rPr>
          <w:rFonts w:ascii="Arial" w:eastAsia="Times New Roman" w:hAnsi="Arial" w:cs="Arial"/>
          <w:bCs/>
          <w:sz w:val="18"/>
          <w:szCs w:val="16"/>
          <w:lang w:val="en-US"/>
        </w:rPr>
        <w:t>Statements in this press release may contain forward-looking statements as contemplated by the 1995 Private Securities Litigation Reform Act that are based on management’s current outlook, expectations, estimates and projections. Words such as “anticipates,” “believes,” “continues,” “could,” “designed,” “effect,” “estimates,” “evaluates,” “expects,” “forecasts,” “goal,” “initiative,” “intends,” “outlook,” “plans,” “potential,” “project,” “pursue,” “seek,” “should,” “target,” “when,” “would,” variations of such words and similar expressions are intended to identify such forward-looking statements. Forward-looking statements are subject to risks and uncertainties, many of which are difficult to predict and generally beyond our control, that could cause actual results to differ materially from those expressed, projected or implied in or by the forward-looking statements. These risks and uncertainties, among others, include: our dependence on automotive and truck production, both of which are highly cyclical; our reliance on major OEM customers; commodities availability and pricing; supply disruptions; fluctuations in interest rates and foreign currency exchange rates; availability of credit; our dependence on key management; our dependence on information systems; the uncertainty of the global economic environment; the outcome of existing or any future legal proceedings, including litigation with respect to various claims; and future changes in laws and regulations, including by way of example, tariffs, in the countries in which we operate, as well as other risks noted in reports that we file with the Securities and Exchange Commission, including the Risk Factors identified in our most recently filed Annual Report on Form 10-K/A. We do not undertake any obligation to update or announce publicly any updates to or revision to any of the forward-looking statements.</w:t>
      </w:r>
    </w:p>
    <w:p w:rsidR="000F523B" w:rsidRPr="000F523B" w:rsidRDefault="000F523B" w:rsidP="000F523B">
      <w:pPr>
        <w:widowControl w:val="0"/>
        <w:autoSpaceDE w:val="0"/>
        <w:autoSpaceDN w:val="0"/>
        <w:adjustRightInd w:val="0"/>
        <w:spacing w:before="120" w:after="320"/>
        <w:contextualSpacing/>
        <w:rPr>
          <w:rFonts w:ascii="Arial" w:hAnsi="Arial" w:cs="Arial"/>
          <w:b/>
          <w:bCs/>
          <w:lang w:val="fr-FR"/>
        </w:rPr>
      </w:pPr>
      <w:r w:rsidRPr="000F523B">
        <w:rPr>
          <w:rFonts w:ascii="Arial" w:hAnsi="Arial" w:cs="Arial"/>
          <w:b/>
          <w:bCs/>
          <w:lang w:val="fr-FR"/>
        </w:rPr>
        <w:t>Contato de Relações Públicas:</w:t>
      </w:r>
    </w:p>
    <w:p w:rsidR="000F523B" w:rsidRPr="000F523B" w:rsidRDefault="000F523B" w:rsidP="000F523B">
      <w:pPr>
        <w:widowControl w:val="0"/>
        <w:autoSpaceDE w:val="0"/>
        <w:autoSpaceDN w:val="0"/>
        <w:adjustRightInd w:val="0"/>
        <w:spacing w:before="120" w:after="320"/>
        <w:contextualSpacing/>
        <w:rPr>
          <w:rFonts w:ascii="Arial" w:hAnsi="Arial" w:cs="Arial"/>
          <w:bCs/>
          <w:lang w:val="fr-FR"/>
        </w:rPr>
      </w:pPr>
      <w:r w:rsidRPr="000F523B">
        <w:rPr>
          <w:rFonts w:ascii="Arial" w:hAnsi="Arial" w:cs="Arial"/>
          <w:bCs/>
          <w:lang w:val="fr-FR"/>
        </w:rPr>
        <w:t>Kathy Graham</w:t>
      </w:r>
    </w:p>
    <w:p w:rsidR="000F523B" w:rsidRPr="000F523B" w:rsidRDefault="000F523B" w:rsidP="000F523B">
      <w:pPr>
        <w:widowControl w:val="0"/>
        <w:autoSpaceDE w:val="0"/>
        <w:autoSpaceDN w:val="0"/>
        <w:adjustRightInd w:val="0"/>
        <w:spacing w:before="120" w:after="320"/>
        <w:contextualSpacing/>
        <w:rPr>
          <w:rFonts w:ascii="Arial" w:hAnsi="Arial" w:cs="Arial"/>
          <w:bCs/>
          <w:lang w:val="fr-FR"/>
        </w:rPr>
      </w:pPr>
      <w:r w:rsidRPr="000F523B">
        <w:rPr>
          <w:rFonts w:ascii="Arial" w:hAnsi="Arial" w:cs="Arial"/>
          <w:bCs/>
          <w:lang w:val="fr-FR"/>
        </w:rPr>
        <w:t>Telefone: +1 248-754-0550</w:t>
      </w:r>
    </w:p>
    <w:p w:rsidR="000F523B" w:rsidRPr="000F523B" w:rsidRDefault="000F523B" w:rsidP="000F523B">
      <w:pPr>
        <w:widowControl w:val="0"/>
        <w:autoSpaceDE w:val="0"/>
        <w:autoSpaceDN w:val="0"/>
        <w:adjustRightInd w:val="0"/>
        <w:spacing w:before="120" w:after="320"/>
        <w:contextualSpacing/>
        <w:rPr>
          <w:rFonts w:ascii="Arial" w:hAnsi="Arial" w:cs="Arial"/>
          <w:bCs/>
          <w:lang w:val="fr-FR"/>
        </w:rPr>
      </w:pPr>
      <w:r w:rsidRPr="000F523B">
        <w:rPr>
          <w:rFonts w:ascii="Arial" w:hAnsi="Arial" w:cs="Arial"/>
          <w:bCs/>
          <w:lang w:val="fr-FR"/>
        </w:rPr>
        <w:t>E-mail: mediacontact@borgwarner.com</w:t>
      </w:r>
      <w:bookmarkStart w:id="0" w:name="_GoBack"/>
      <w:bookmarkEnd w:id="0"/>
    </w:p>
    <w:sectPr w:rsidR="000F523B" w:rsidRPr="000F523B" w:rsidSect="00222E84">
      <w:headerReference w:type="even" r:id="rId10"/>
      <w:headerReference w:type="default" r:id="rId11"/>
      <w:footerReference w:type="even" r:id="rId12"/>
      <w:footerReference w:type="default" r:id="rId13"/>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6EB" w:rsidRDefault="00EB58B0">
      <w:pPr>
        <w:spacing w:after="0" w:line="240" w:lineRule="auto"/>
      </w:pPr>
      <w:r>
        <w:separator/>
      </w:r>
    </w:p>
  </w:endnote>
  <w:endnote w:type="continuationSeparator" w:id="0">
    <w:p w:rsidR="006B16EB" w:rsidRDefault="00EB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62D" w:rsidRPr="005A2D91" w:rsidRDefault="009247D7" w:rsidP="00821ACE">
    <w:pPr>
      <w:pStyle w:val="BWNRborgwarnercom"/>
      <w:jc w:val="left"/>
      <w:rPr>
        <w:sz w:val="22"/>
      </w:rPr>
    </w:pPr>
  </w:p>
  <w:p w:rsidR="0087362D" w:rsidRPr="005A2D91" w:rsidRDefault="009247D7" w:rsidP="00821ACE">
    <w:pPr>
      <w:pStyle w:val="BWNRborgwarnercom"/>
      <w:jc w:val="left"/>
      <w:rPr>
        <w:sz w:val="22"/>
      </w:rPr>
    </w:pPr>
  </w:p>
  <w:p w:rsidR="0087362D" w:rsidRDefault="009247D7" w:rsidP="00821ACE">
    <w:pPr>
      <w:pStyle w:val="BWNRborgwarnercom"/>
    </w:pPr>
    <w:hyperlink r:id="rId1" w:history="1">
      <w:r w:rsidR="00014FAC" w:rsidRPr="0020374D">
        <w:rPr>
          <w:sz w:val="22"/>
          <w:szCs w:val="22"/>
        </w:rPr>
        <w:t>borgwarner.com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62D" w:rsidRPr="005A2D91" w:rsidRDefault="009247D7" w:rsidP="00FD485E">
    <w:pPr>
      <w:pStyle w:val="BWNRborgwarnercom"/>
      <w:jc w:val="left"/>
      <w:rPr>
        <w:sz w:val="22"/>
      </w:rPr>
    </w:pPr>
  </w:p>
  <w:p w:rsidR="0087362D" w:rsidRPr="005A2D91" w:rsidRDefault="009247D7" w:rsidP="00FD485E">
    <w:pPr>
      <w:pStyle w:val="BWNRborgwarnercom"/>
      <w:jc w:val="left"/>
      <w:rPr>
        <w:sz w:val="22"/>
      </w:rPr>
    </w:pPr>
  </w:p>
  <w:p w:rsidR="0087362D" w:rsidRDefault="009247D7" w:rsidP="00FD485E">
    <w:pPr>
      <w:pStyle w:val="BWNRborgwarnercom"/>
    </w:pPr>
    <w:hyperlink r:id="rId1" w:history="1">
      <w:r w:rsidR="00014FAC" w:rsidRPr="0020374D">
        <w:rPr>
          <w:sz w:val="22"/>
          <w:szCs w:val="22"/>
        </w:rPr>
        <w:t>borgwarner.com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6EB" w:rsidRDefault="00EB58B0">
      <w:pPr>
        <w:spacing w:after="0" w:line="240" w:lineRule="auto"/>
      </w:pPr>
      <w:r>
        <w:separator/>
      </w:r>
    </w:p>
  </w:footnote>
  <w:footnote w:type="continuationSeparator" w:id="0">
    <w:p w:rsidR="006B16EB" w:rsidRDefault="00EB5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62D" w:rsidRPr="00FD485E" w:rsidRDefault="00014FAC" w:rsidP="006C4874">
    <w:pPr>
      <w:spacing w:line="360" w:lineRule="auto"/>
      <w:rPr>
        <w:rFonts w:ascii="Arial" w:eastAsia="Times New Roman" w:hAnsi="Arial" w:cs="Arial"/>
        <w:bCs/>
        <w:lang w:val="en-US"/>
      </w:rPr>
    </w:pPr>
    <w:r w:rsidRPr="00FD485E">
      <w:rPr>
        <w:rFonts w:ascii="Arial" w:hAnsi="Arial" w:cs="Cordia New"/>
        <w:lang w:val="en-US"/>
      </w:rPr>
      <w:t>BorgWarner Inc. (</w:t>
    </w:r>
    <w:r w:rsidRPr="00FD485E">
      <w:rPr>
        <w:rFonts w:ascii="Arial" w:eastAsia="Times New Roman" w:hAnsi="Arial" w:cs="Arial"/>
        <w:bCs/>
        <w:lang w:val="en-US"/>
      </w:rPr>
      <w:t xml:space="preserve">BorgWarner at IAA 2019: </w:t>
    </w:r>
    <w:r>
      <w:rPr>
        <w:rFonts w:ascii="Arial" w:eastAsia="Times New Roman" w:hAnsi="Arial" w:cs="Arial"/>
        <w:bCs/>
        <w:lang w:val="en-US"/>
      </w:rPr>
      <w:t xml:space="preserve">Switch </w:t>
    </w:r>
    <w:proofErr w:type="spellStart"/>
    <w:r>
      <w:rPr>
        <w:rFonts w:ascii="Arial" w:eastAsia="Times New Roman" w:hAnsi="Arial" w:cs="Arial"/>
        <w:bCs/>
        <w:lang w:val="en-US"/>
      </w:rPr>
      <w:t>Now_EN</w:t>
    </w:r>
    <w:proofErr w:type="spellEnd"/>
    <w:r>
      <w:rPr>
        <w:rFonts w:ascii="Arial" w:hAnsi="Arial" w:cs="Cordia New"/>
        <w:lang w:val="en-US"/>
      </w:rPr>
      <w:t>) – 3</w:t>
    </w:r>
  </w:p>
  <w:p w:rsidR="0087362D" w:rsidRPr="006C4874" w:rsidRDefault="009247D7">
    <w:pPr>
      <w:pStyle w:val="Cabealh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62D" w:rsidRPr="00FD485E" w:rsidRDefault="00014FAC" w:rsidP="00222E84">
    <w:pPr>
      <w:spacing w:line="360" w:lineRule="auto"/>
      <w:rPr>
        <w:rFonts w:ascii="Arial" w:eastAsia="Times New Roman" w:hAnsi="Arial" w:cs="Arial"/>
        <w:bCs/>
        <w:lang w:val="en-US"/>
      </w:rPr>
    </w:pPr>
    <w:r w:rsidRPr="00FD485E">
      <w:rPr>
        <w:rFonts w:ascii="Arial" w:hAnsi="Arial" w:cs="Cordia New"/>
        <w:lang w:val="en-US"/>
      </w:rPr>
      <w:t>BorgWarner Inc. (</w:t>
    </w:r>
    <w:r w:rsidRPr="00FD485E">
      <w:rPr>
        <w:rFonts w:ascii="Arial" w:eastAsia="Times New Roman" w:hAnsi="Arial" w:cs="Arial"/>
        <w:bCs/>
        <w:lang w:val="en-US"/>
      </w:rPr>
      <w:t xml:space="preserve">BorgWarner at IAA 2019: </w:t>
    </w:r>
    <w:r>
      <w:rPr>
        <w:rFonts w:ascii="Arial" w:eastAsia="Times New Roman" w:hAnsi="Arial" w:cs="Arial"/>
        <w:bCs/>
        <w:lang w:val="en-US"/>
      </w:rPr>
      <w:t xml:space="preserve">Switch </w:t>
    </w:r>
    <w:proofErr w:type="spellStart"/>
    <w:r>
      <w:rPr>
        <w:rFonts w:ascii="Arial" w:eastAsia="Times New Roman" w:hAnsi="Arial" w:cs="Arial"/>
        <w:bCs/>
        <w:lang w:val="en-US"/>
      </w:rPr>
      <w:t>Now_EN</w:t>
    </w:r>
    <w:proofErr w:type="spellEnd"/>
    <w:r>
      <w:rPr>
        <w:rFonts w:ascii="Arial" w:hAnsi="Arial" w:cs="Cordia New"/>
        <w:lang w:val="en-US"/>
      </w:rPr>
      <w:t>) – 2</w:t>
    </w:r>
  </w:p>
  <w:p w:rsidR="0087362D" w:rsidRPr="00222E84" w:rsidRDefault="009247D7" w:rsidP="00222E84">
    <w:pPr>
      <w:pStyle w:val="Cabealh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75EA"/>
    <w:multiLevelType w:val="hybridMultilevel"/>
    <w:tmpl w:val="FE8CF09A"/>
    <w:lvl w:ilvl="0" w:tplc="37D8AC08">
      <w:start w:val="1"/>
      <w:numFmt w:val="bullet"/>
      <w:lvlText w:val=""/>
      <w:lvlJc w:val="left"/>
      <w:pPr>
        <w:ind w:left="928"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83"/>
    <w:rsid w:val="00014FAC"/>
    <w:rsid w:val="000F523B"/>
    <w:rsid w:val="00503D5A"/>
    <w:rsid w:val="00663D83"/>
    <w:rsid w:val="006B16EB"/>
    <w:rsid w:val="009247D7"/>
    <w:rsid w:val="00BE45EA"/>
    <w:rsid w:val="00CC0A2B"/>
    <w:rsid w:val="00CC10EC"/>
    <w:rsid w:val="00EB4093"/>
    <w:rsid w:val="00EB58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D83"/>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663D83"/>
    <w:pPr>
      <w:spacing w:after="120" w:line="240" w:lineRule="auto"/>
      <w:ind w:left="360"/>
    </w:pPr>
    <w:rPr>
      <w:rFonts w:ascii="Arial" w:eastAsia="Batang" w:hAnsi="Arial"/>
      <w:sz w:val="20"/>
      <w:szCs w:val="20"/>
      <w:lang w:val="en-US" w:eastAsia="ko-KR"/>
    </w:rPr>
  </w:style>
  <w:style w:type="character" w:customStyle="1" w:styleId="RecuodecorpodetextoChar">
    <w:name w:val="Recuo de corpo de texto Char"/>
    <w:basedOn w:val="Fontepargpadro"/>
    <w:link w:val="Recuodecorpodetexto"/>
    <w:rsid w:val="00663D83"/>
    <w:rPr>
      <w:rFonts w:ascii="Arial" w:eastAsia="Batang" w:hAnsi="Arial" w:cs="Times New Roman"/>
      <w:sz w:val="20"/>
      <w:szCs w:val="20"/>
      <w:lang w:val="en-US" w:eastAsia="ko-KR"/>
    </w:rPr>
  </w:style>
  <w:style w:type="paragraph" w:styleId="Cabealho">
    <w:name w:val="header"/>
    <w:basedOn w:val="Normal"/>
    <w:link w:val="CabealhoChar"/>
    <w:uiPriority w:val="99"/>
    <w:unhideWhenUsed/>
    <w:rsid w:val="00663D83"/>
    <w:pPr>
      <w:tabs>
        <w:tab w:val="center" w:pos="4536"/>
        <w:tab w:val="right" w:pos="9072"/>
      </w:tabs>
      <w:spacing w:after="0" w:line="240" w:lineRule="auto"/>
    </w:pPr>
    <w:rPr>
      <w:rFonts w:asciiTheme="minorHAnsi" w:eastAsiaTheme="minorHAnsi" w:hAnsiTheme="minorHAnsi" w:cstheme="minorBidi"/>
      <w:lang w:val="en-GB"/>
    </w:rPr>
  </w:style>
  <w:style w:type="character" w:customStyle="1" w:styleId="CabealhoChar">
    <w:name w:val="Cabeçalho Char"/>
    <w:basedOn w:val="Fontepargpadro"/>
    <w:link w:val="Cabealho"/>
    <w:uiPriority w:val="99"/>
    <w:rsid w:val="00663D83"/>
    <w:rPr>
      <w:lang w:val="en-GB"/>
    </w:rPr>
  </w:style>
  <w:style w:type="paragraph" w:customStyle="1" w:styleId="BWNRborgwarnercom">
    <w:name w:val="BW NR borgwarner.com"/>
    <w:basedOn w:val="Normal"/>
    <w:link w:val="BWNRborgwarnercomChar"/>
    <w:qFormat/>
    <w:rsid w:val="00663D83"/>
    <w:pPr>
      <w:spacing w:after="0" w:line="240" w:lineRule="auto"/>
      <w:jc w:val="right"/>
    </w:pPr>
    <w:rPr>
      <w:rFonts w:ascii="Arial" w:eastAsia="Times New Roman" w:hAnsi="Arial" w:cs="Arial"/>
      <w:color w:val="808080" w:themeColor="background1" w:themeShade="80"/>
      <w:sz w:val="24"/>
      <w:szCs w:val="24"/>
      <w:u w:val="single"/>
      <w:lang w:val="en-US"/>
    </w:rPr>
  </w:style>
  <w:style w:type="character" w:customStyle="1" w:styleId="BWNRborgwarnercomChar">
    <w:name w:val="BW NR borgwarner.com Char"/>
    <w:basedOn w:val="Fontepargpadro"/>
    <w:link w:val="BWNRborgwarnercom"/>
    <w:rsid w:val="00663D83"/>
    <w:rPr>
      <w:rFonts w:ascii="Arial" w:eastAsia="Times New Roman" w:hAnsi="Arial" w:cs="Arial"/>
      <w:color w:val="808080" w:themeColor="background1" w:themeShade="80"/>
      <w:sz w:val="24"/>
      <w:szCs w:val="24"/>
      <w:u w:val="single"/>
      <w:lang w:val="en-US"/>
    </w:rPr>
  </w:style>
  <w:style w:type="paragraph" w:styleId="Textodebalo">
    <w:name w:val="Balloon Text"/>
    <w:basedOn w:val="Normal"/>
    <w:link w:val="TextodebaloChar"/>
    <w:uiPriority w:val="99"/>
    <w:semiHidden/>
    <w:unhideWhenUsed/>
    <w:rsid w:val="00EB58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58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D83"/>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663D83"/>
    <w:pPr>
      <w:spacing w:after="120" w:line="240" w:lineRule="auto"/>
      <w:ind w:left="360"/>
    </w:pPr>
    <w:rPr>
      <w:rFonts w:ascii="Arial" w:eastAsia="Batang" w:hAnsi="Arial"/>
      <w:sz w:val="20"/>
      <w:szCs w:val="20"/>
      <w:lang w:val="en-US" w:eastAsia="ko-KR"/>
    </w:rPr>
  </w:style>
  <w:style w:type="character" w:customStyle="1" w:styleId="RecuodecorpodetextoChar">
    <w:name w:val="Recuo de corpo de texto Char"/>
    <w:basedOn w:val="Fontepargpadro"/>
    <w:link w:val="Recuodecorpodetexto"/>
    <w:rsid w:val="00663D83"/>
    <w:rPr>
      <w:rFonts w:ascii="Arial" w:eastAsia="Batang" w:hAnsi="Arial" w:cs="Times New Roman"/>
      <w:sz w:val="20"/>
      <w:szCs w:val="20"/>
      <w:lang w:val="en-US" w:eastAsia="ko-KR"/>
    </w:rPr>
  </w:style>
  <w:style w:type="paragraph" w:styleId="Cabealho">
    <w:name w:val="header"/>
    <w:basedOn w:val="Normal"/>
    <w:link w:val="CabealhoChar"/>
    <w:uiPriority w:val="99"/>
    <w:unhideWhenUsed/>
    <w:rsid w:val="00663D83"/>
    <w:pPr>
      <w:tabs>
        <w:tab w:val="center" w:pos="4536"/>
        <w:tab w:val="right" w:pos="9072"/>
      </w:tabs>
      <w:spacing w:after="0" w:line="240" w:lineRule="auto"/>
    </w:pPr>
    <w:rPr>
      <w:rFonts w:asciiTheme="minorHAnsi" w:eastAsiaTheme="minorHAnsi" w:hAnsiTheme="minorHAnsi" w:cstheme="minorBidi"/>
      <w:lang w:val="en-GB"/>
    </w:rPr>
  </w:style>
  <w:style w:type="character" w:customStyle="1" w:styleId="CabealhoChar">
    <w:name w:val="Cabeçalho Char"/>
    <w:basedOn w:val="Fontepargpadro"/>
    <w:link w:val="Cabealho"/>
    <w:uiPriority w:val="99"/>
    <w:rsid w:val="00663D83"/>
    <w:rPr>
      <w:lang w:val="en-GB"/>
    </w:rPr>
  </w:style>
  <w:style w:type="paragraph" w:customStyle="1" w:styleId="BWNRborgwarnercom">
    <w:name w:val="BW NR borgwarner.com"/>
    <w:basedOn w:val="Normal"/>
    <w:link w:val="BWNRborgwarnercomChar"/>
    <w:qFormat/>
    <w:rsid w:val="00663D83"/>
    <w:pPr>
      <w:spacing w:after="0" w:line="240" w:lineRule="auto"/>
      <w:jc w:val="right"/>
    </w:pPr>
    <w:rPr>
      <w:rFonts w:ascii="Arial" w:eastAsia="Times New Roman" w:hAnsi="Arial" w:cs="Arial"/>
      <w:color w:val="808080" w:themeColor="background1" w:themeShade="80"/>
      <w:sz w:val="24"/>
      <w:szCs w:val="24"/>
      <w:u w:val="single"/>
      <w:lang w:val="en-US"/>
    </w:rPr>
  </w:style>
  <w:style w:type="character" w:customStyle="1" w:styleId="BWNRborgwarnercomChar">
    <w:name w:val="BW NR borgwarner.com Char"/>
    <w:basedOn w:val="Fontepargpadro"/>
    <w:link w:val="BWNRborgwarnercom"/>
    <w:rsid w:val="00663D83"/>
    <w:rPr>
      <w:rFonts w:ascii="Arial" w:eastAsia="Times New Roman" w:hAnsi="Arial" w:cs="Arial"/>
      <w:color w:val="808080" w:themeColor="background1" w:themeShade="80"/>
      <w:sz w:val="24"/>
      <w:szCs w:val="24"/>
      <w:u w:val="single"/>
      <w:lang w:val="en-US"/>
    </w:rPr>
  </w:style>
  <w:style w:type="paragraph" w:styleId="Textodebalo">
    <w:name w:val="Balloon Text"/>
    <w:basedOn w:val="Normal"/>
    <w:link w:val="TextodebaloChar"/>
    <w:uiPriority w:val="99"/>
    <w:semiHidden/>
    <w:unhideWhenUsed/>
    <w:rsid w:val="00EB58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58B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rgwarner.com/en/hom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orgwarner.com/en/home"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975</Words>
  <Characters>5269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D-LANG</dc:creator>
  <cp:keywords/>
  <dc:description/>
  <cp:lastModifiedBy>vagner.aquino</cp:lastModifiedBy>
  <cp:revision>4</cp:revision>
  <dcterms:created xsi:type="dcterms:W3CDTF">2019-08-22T19:32:00Z</dcterms:created>
  <dcterms:modified xsi:type="dcterms:W3CDTF">2019-08-23T14:18:00Z</dcterms:modified>
</cp:coreProperties>
</file>